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B1C5E" w14:textId="1735DBE7" w:rsidR="00BF43B1" w:rsidRDefault="00BF43B1" w:rsidP="00BF43B1">
      <w:pPr>
        <w:jc w:val="right"/>
        <w:rPr>
          <w:b/>
          <w:bCs/>
        </w:rPr>
      </w:pPr>
      <w:bookmarkStart w:id="0" w:name="_GoBack"/>
      <w:bookmarkEnd w:id="0"/>
      <w:r>
        <w:rPr>
          <w:b/>
          <w:bCs/>
        </w:rPr>
        <w:t xml:space="preserve">Приложение </w:t>
      </w:r>
      <w:r w:rsidR="00E743E7">
        <w:rPr>
          <w:b/>
          <w:bCs/>
        </w:rPr>
        <w:t>2</w:t>
      </w:r>
    </w:p>
    <w:p w14:paraId="0AD4DB66" w14:textId="77777777" w:rsidR="00BF43B1" w:rsidRPr="00BF43B1" w:rsidRDefault="00BF43B1" w:rsidP="00A91D3F">
      <w:pPr>
        <w:jc w:val="center"/>
        <w:rPr>
          <w:b/>
          <w:bCs/>
          <w:sz w:val="6"/>
          <w:szCs w:val="2"/>
        </w:rPr>
      </w:pPr>
    </w:p>
    <w:p w14:paraId="6BA6EC86" w14:textId="387C123F" w:rsidR="00A91D3F" w:rsidRDefault="00AB51B1" w:rsidP="00BF43B1">
      <w:pPr>
        <w:jc w:val="center"/>
        <w:rPr>
          <w:b/>
          <w:bCs/>
        </w:rPr>
      </w:pPr>
      <w:r w:rsidRPr="00005094">
        <w:rPr>
          <w:b/>
          <w:bCs/>
        </w:rPr>
        <w:t xml:space="preserve">Предложения </w:t>
      </w:r>
    </w:p>
    <w:p w14:paraId="54C47BC7" w14:textId="7EC40F84" w:rsidR="00402EE5" w:rsidRDefault="00402EE5" w:rsidP="00BF43B1">
      <w:pPr>
        <w:jc w:val="center"/>
        <w:rPr>
          <w:b/>
          <w:szCs w:val="28"/>
        </w:rPr>
      </w:pPr>
      <w:r>
        <w:rPr>
          <w:b/>
          <w:szCs w:val="28"/>
        </w:rPr>
        <w:t>в общенациональный план действий, обеспечивающих восстановление занятости и доходов населения, рост экономики и долгосрочные структурные изменения в экономике</w:t>
      </w:r>
    </w:p>
    <w:p w14:paraId="606D1B7D" w14:textId="73308D0D" w:rsidR="00402EE5" w:rsidRDefault="00A91D3F" w:rsidP="00BF43B1">
      <w:pPr>
        <w:jc w:val="center"/>
        <w:rPr>
          <w:b/>
          <w:bCs/>
        </w:rPr>
      </w:pPr>
      <w:r>
        <w:rPr>
          <w:b/>
          <w:bCs/>
        </w:rPr>
        <w:t>Комитет ТПП РФ по предпринимательству</w:t>
      </w:r>
      <w:r w:rsidR="00CE5730">
        <w:rPr>
          <w:b/>
          <w:bCs/>
        </w:rPr>
        <w:t xml:space="preserve"> </w:t>
      </w:r>
      <w:r>
        <w:rPr>
          <w:b/>
          <w:bCs/>
        </w:rPr>
        <w:t>в сфере жилищного и коммунального хозяйства</w:t>
      </w:r>
    </w:p>
    <w:p w14:paraId="7416A71A" w14:textId="77777777" w:rsidR="002160A8" w:rsidRPr="00BF43B1" w:rsidRDefault="002160A8" w:rsidP="004F4D41">
      <w:pPr>
        <w:jc w:val="center"/>
        <w:rPr>
          <w:b/>
          <w:bCs/>
          <w:sz w:val="14"/>
          <w:szCs w:val="10"/>
        </w:rPr>
      </w:pPr>
    </w:p>
    <w:p w14:paraId="1256FF9F" w14:textId="5AADA5FB" w:rsidR="00F473A3" w:rsidRPr="00F473A3" w:rsidRDefault="00F473A3" w:rsidP="004F4D41">
      <w:pPr>
        <w:jc w:val="center"/>
        <w:rPr>
          <w:b/>
          <w:bCs/>
          <w:szCs w:val="28"/>
        </w:rPr>
      </w:pPr>
      <w:r w:rsidRPr="00F473A3">
        <w:rPr>
          <w:b/>
          <w:bCs/>
        </w:rPr>
        <w:t xml:space="preserve">Предложения по мерам, направленным на </w:t>
      </w:r>
      <w:r w:rsidRPr="00F473A3">
        <w:rPr>
          <w:b/>
          <w:bCs/>
          <w:szCs w:val="28"/>
        </w:rPr>
        <w:t>улучшение экономического состояния организаций</w:t>
      </w:r>
      <w:r w:rsidR="002160A8">
        <w:rPr>
          <w:b/>
          <w:bCs/>
          <w:szCs w:val="28"/>
        </w:rPr>
        <w:t xml:space="preserve"> </w:t>
      </w:r>
      <w:r w:rsidR="002160A8" w:rsidRPr="002160A8">
        <w:rPr>
          <w:b/>
          <w:bCs/>
        </w:rPr>
        <w:t>жилищной и коммунальной сфер</w:t>
      </w:r>
      <w:r w:rsidRPr="002160A8">
        <w:rPr>
          <w:b/>
          <w:bCs/>
          <w:szCs w:val="28"/>
        </w:rPr>
        <w:t xml:space="preserve">, </w:t>
      </w:r>
      <w:r w:rsidRPr="00F473A3">
        <w:rPr>
          <w:b/>
          <w:bCs/>
          <w:szCs w:val="28"/>
        </w:rPr>
        <w:t>предотвращение ухудшения состояния многоквартирных домов и роста недовольства населения качеством и стоимостью жилищных и коммунальных услуг</w:t>
      </w:r>
    </w:p>
    <w:p w14:paraId="6F93E1AF" w14:textId="32F99AB8" w:rsidR="00AB51B1" w:rsidRDefault="00AB51B1" w:rsidP="00BF43B1"/>
    <w:p w14:paraId="2A5F3EB3" w14:textId="77777777" w:rsidR="004F4D41" w:rsidRPr="00801EFB" w:rsidRDefault="004F4D41" w:rsidP="004F4D41">
      <w:pPr>
        <w:pStyle w:val="a4"/>
        <w:numPr>
          <w:ilvl w:val="0"/>
          <w:numId w:val="2"/>
        </w:numPr>
        <w:ind w:left="426" w:hanging="426"/>
        <w:jc w:val="both"/>
        <w:rPr>
          <w:rFonts w:cs="Times New Roman"/>
          <w:sz w:val="26"/>
          <w:szCs w:val="26"/>
        </w:rPr>
      </w:pPr>
      <w:r w:rsidRPr="00661BBB">
        <w:rPr>
          <w:rFonts w:cs="Times New Roman"/>
          <w:b/>
          <w:sz w:val="26"/>
          <w:szCs w:val="26"/>
        </w:rPr>
        <w:t>Общесистемные меры</w:t>
      </w:r>
    </w:p>
    <w:p w14:paraId="096658B9" w14:textId="77777777" w:rsidR="00A91D3F" w:rsidRPr="00661BBB" w:rsidRDefault="00A91D3F" w:rsidP="00BF43B1">
      <w:pPr>
        <w:pStyle w:val="a4"/>
        <w:numPr>
          <w:ilvl w:val="1"/>
          <w:numId w:val="2"/>
        </w:numPr>
        <w:ind w:left="0" w:firstLine="0"/>
        <w:jc w:val="both"/>
        <w:rPr>
          <w:rFonts w:cs="Times New Roman"/>
          <w:b/>
          <w:sz w:val="26"/>
          <w:szCs w:val="26"/>
        </w:rPr>
      </w:pPr>
      <w:r w:rsidRPr="00661BBB">
        <w:rPr>
          <w:rFonts w:cs="Times New Roman"/>
          <w:b/>
          <w:sz w:val="26"/>
          <w:szCs w:val="26"/>
        </w:rPr>
        <w:t>Оптимизации законодательства о налогах и сборах</w:t>
      </w:r>
    </w:p>
    <w:p w14:paraId="4DF9F62F" w14:textId="77777777" w:rsidR="00A91D3F" w:rsidRPr="00BF43B1" w:rsidRDefault="00A91D3F" w:rsidP="00BF43B1">
      <w:pPr>
        <w:rPr>
          <w:sz w:val="14"/>
          <w:szCs w:val="10"/>
        </w:rPr>
      </w:pPr>
    </w:p>
    <w:tbl>
      <w:tblPr>
        <w:tblStyle w:val="a3"/>
        <w:tblW w:w="0" w:type="auto"/>
        <w:tblLook w:val="04A0" w:firstRow="1" w:lastRow="0" w:firstColumn="1" w:lastColumn="0" w:noHBand="0" w:noVBand="1"/>
      </w:tblPr>
      <w:tblGrid>
        <w:gridCol w:w="846"/>
        <w:gridCol w:w="6379"/>
        <w:gridCol w:w="7938"/>
      </w:tblGrid>
      <w:tr w:rsidR="008D5503" w:rsidRPr="001E471E" w14:paraId="7F5153A0" w14:textId="77777777" w:rsidTr="00CE5730">
        <w:tc>
          <w:tcPr>
            <w:tcW w:w="846" w:type="dxa"/>
          </w:tcPr>
          <w:p w14:paraId="594CFFB4" w14:textId="77777777" w:rsidR="008D5503" w:rsidRPr="001E471E" w:rsidRDefault="008D5503" w:rsidP="00005094">
            <w:pPr>
              <w:jc w:val="center"/>
              <w:rPr>
                <w:b/>
                <w:bCs/>
                <w:sz w:val="24"/>
                <w:szCs w:val="24"/>
              </w:rPr>
            </w:pPr>
            <w:r w:rsidRPr="001E471E">
              <w:rPr>
                <w:b/>
                <w:bCs/>
                <w:sz w:val="24"/>
                <w:szCs w:val="24"/>
              </w:rPr>
              <w:t>№№</w:t>
            </w:r>
          </w:p>
          <w:p w14:paraId="1BC2284D" w14:textId="1868892D" w:rsidR="008D5503" w:rsidRPr="001E471E" w:rsidRDefault="008D5503" w:rsidP="00005094">
            <w:pPr>
              <w:jc w:val="center"/>
              <w:rPr>
                <w:b/>
                <w:bCs/>
                <w:sz w:val="24"/>
                <w:szCs w:val="24"/>
              </w:rPr>
            </w:pPr>
            <w:proofErr w:type="spellStart"/>
            <w:r w:rsidRPr="001E471E">
              <w:rPr>
                <w:b/>
                <w:bCs/>
                <w:sz w:val="24"/>
                <w:szCs w:val="24"/>
              </w:rPr>
              <w:t>пп</w:t>
            </w:r>
            <w:proofErr w:type="spellEnd"/>
          </w:p>
        </w:tc>
        <w:tc>
          <w:tcPr>
            <w:tcW w:w="6379" w:type="dxa"/>
          </w:tcPr>
          <w:p w14:paraId="1DC3DCC0" w14:textId="41DC49F3" w:rsidR="008D5503" w:rsidRPr="001E471E" w:rsidRDefault="008D5503" w:rsidP="00005094">
            <w:pPr>
              <w:jc w:val="center"/>
              <w:rPr>
                <w:b/>
                <w:bCs/>
                <w:sz w:val="24"/>
                <w:szCs w:val="24"/>
              </w:rPr>
            </w:pPr>
            <w:r w:rsidRPr="001E471E">
              <w:rPr>
                <w:b/>
                <w:bCs/>
                <w:sz w:val="24"/>
                <w:szCs w:val="24"/>
              </w:rPr>
              <w:t>Мероприятие</w:t>
            </w:r>
          </w:p>
        </w:tc>
        <w:tc>
          <w:tcPr>
            <w:tcW w:w="7938" w:type="dxa"/>
          </w:tcPr>
          <w:p w14:paraId="0290CA8C" w14:textId="1FB49E4B" w:rsidR="008D5503" w:rsidRPr="001E471E" w:rsidRDefault="008D5503" w:rsidP="00005094">
            <w:pPr>
              <w:jc w:val="center"/>
              <w:rPr>
                <w:b/>
                <w:bCs/>
                <w:sz w:val="24"/>
                <w:szCs w:val="24"/>
              </w:rPr>
            </w:pPr>
            <w:r w:rsidRPr="001E471E">
              <w:rPr>
                <w:b/>
                <w:bCs/>
                <w:sz w:val="24"/>
                <w:szCs w:val="24"/>
              </w:rPr>
              <w:t>Обоснование (суть проблемы)</w:t>
            </w:r>
            <w:r>
              <w:rPr>
                <w:b/>
                <w:bCs/>
                <w:sz w:val="24"/>
                <w:szCs w:val="24"/>
              </w:rPr>
              <w:t>,</w:t>
            </w:r>
            <w:r w:rsidRPr="001E471E">
              <w:rPr>
                <w:b/>
                <w:bCs/>
                <w:sz w:val="24"/>
                <w:szCs w:val="24"/>
              </w:rPr>
              <w:t xml:space="preserve"> </w:t>
            </w:r>
            <w:r>
              <w:rPr>
                <w:b/>
                <w:bCs/>
                <w:sz w:val="24"/>
                <w:szCs w:val="24"/>
              </w:rPr>
              <w:br/>
              <w:t>о</w:t>
            </w:r>
            <w:r w:rsidRPr="001E471E">
              <w:rPr>
                <w:b/>
                <w:bCs/>
                <w:sz w:val="24"/>
                <w:szCs w:val="24"/>
              </w:rPr>
              <w:t>жидаемый результат</w:t>
            </w:r>
          </w:p>
        </w:tc>
      </w:tr>
      <w:tr w:rsidR="00A91D3F" w:rsidRPr="00761BD2" w14:paraId="7D1D2DFB" w14:textId="77777777" w:rsidTr="00CE5730">
        <w:tc>
          <w:tcPr>
            <w:tcW w:w="846" w:type="dxa"/>
          </w:tcPr>
          <w:p w14:paraId="4CF1942B" w14:textId="77777777" w:rsidR="00A91D3F" w:rsidRPr="001E471E" w:rsidRDefault="00A91D3F" w:rsidP="0082117B">
            <w:pPr>
              <w:pStyle w:val="a4"/>
              <w:numPr>
                <w:ilvl w:val="0"/>
                <w:numId w:val="1"/>
              </w:numPr>
              <w:ind w:left="0" w:firstLine="0"/>
              <w:rPr>
                <w:sz w:val="24"/>
                <w:szCs w:val="24"/>
              </w:rPr>
            </w:pPr>
          </w:p>
        </w:tc>
        <w:tc>
          <w:tcPr>
            <w:tcW w:w="6379" w:type="dxa"/>
          </w:tcPr>
          <w:p w14:paraId="6ACE021F" w14:textId="77777777" w:rsidR="00A91D3F" w:rsidRPr="001E471E" w:rsidRDefault="00A91D3F" w:rsidP="0082117B">
            <w:pPr>
              <w:jc w:val="both"/>
              <w:rPr>
                <w:sz w:val="24"/>
                <w:szCs w:val="24"/>
              </w:rPr>
            </w:pPr>
            <w:proofErr w:type="gramStart"/>
            <w:r w:rsidRPr="001E471E">
              <w:rPr>
                <w:sz w:val="24"/>
                <w:szCs w:val="24"/>
              </w:rPr>
              <w:t xml:space="preserve">Распространить на </w:t>
            </w:r>
            <w:r>
              <w:rPr>
                <w:sz w:val="24"/>
                <w:szCs w:val="24"/>
              </w:rPr>
              <w:t>о</w:t>
            </w:r>
            <w:r w:rsidRPr="001E471E">
              <w:rPr>
                <w:sz w:val="24"/>
                <w:szCs w:val="24"/>
              </w:rPr>
              <w:t>рганизации ЖКХ с численностью более 100 человек и оборотом более 90 млн. в год льготу</w:t>
            </w:r>
            <w:r>
              <w:rPr>
                <w:sz w:val="24"/>
                <w:szCs w:val="24"/>
              </w:rPr>
              <w:t>,</w:t>
            </w:r>
            <w:r w:rsidRPr="001E471E">
              <w:rPr>
                <w:sz w:val="24"/>
                <w:szCs w:val="24"/>
              </w:rPr>
              <w:t xml:space="preserve"> вводимую по уплате страховых взносов для малого и среднего бизнеса с сокращением взносов до 15% с окладами выше 12</w:t>
            </w:r>
            <w:r>
              <w:rPr>
                <w:sz w:val="24"/>
                <w:szCs w:val="24"/>
              </w:rPr>
              <w:t> </w:t>
            </w:r>
            <w:r w:rsidRPr="001E471E">
              <w:rPr>
                <w:sz w:val="24"/>
                <w:szCs w:val="24"/>
              </w:rPr>
              <w:t>130</w:t>
            </w:r>
            <w:r>
              <w:rPr>
                <w:sz w:val="24"/>
                <w:szCs w:val="24"/>
              </w:rPr>
              <w:t xml:space="preserve"> </w:t>
            </w:r>
            <w:r w:rsidRPr="001E471E">
              <w:rPr>
                <w:sz w:val="24"/>
                <w:szCs w:val="24"/>
              </w:rPr>
              <w:t>руб. с условием сохранения численности предприятия не менее 80% от уровня марта месяца 2020</w:t>
            </w:r>
            <w:r>
              <w:rPr>
                <w:sz w:val="24"/>
                <w:szCs w:val="24"/>
              </w:rPr>
              <w:t xml:space="preserve"> </w:t>
            </w:r>
            <w:r w:rsidRPr="001E471E">
              <w:rPr>
                <w:sz w:val="24"/>
                <w:szCs w:val="24"/>
              </w:rPr>
              <w:t>г. и направления высвободившихся средств на оплату труда, проведение</w:t>
            </w:r>
            <w:proofErr w:type="gramEnd"/>
            <w:r w:rsidRPr="001E471E">
              <w:rPr>
                <w:sz w:val="24"/>
                <w:szCs w:val="24"/>
              </w:rPr>
              <w:t xml:space="preserve"> анализов воды и сточных вод, закупки индивидуальных средств защиты, проведения тестирования и будущей вакцинации персонала.</w:t>
            </w:r>
          </w:p>
        </w:tc>
        <w:tc>
          <w:tcPr>
            <w:tcW w:w="7938" w:type="dxa"/>
          </w:tcPr>
          <w:p w14:paraId="7C344A8E" w14:textId="77777777" w:rsidR="00A91D3F" w:rsidRPr="001E471E" w:rsidRDefault="00A91D3F" w:rsidP="0082117B">
            <w:pPr>
              <w:jc w:val="both"/>
              <w:rPr>
                <w:sz w:val="24"/>
                <w:szCs w:val="24"/>
              </w:rPr>
            </w:pPr>
            <w:r w:rsidRPr="001E471E">
              <w:rPr>
                <w:sz w:val="24"/>
                <w:szCs w:val="24"/>
              </w:rPr>
              <w:t xml:space="preserve">Данная мера </w:t>
            </w:r>
            <w:r>
              <w:rPr>
                <w:sz w:val="24"/>
                <w:szCs w:val="24"/>
              </w:rPr>
              <w:t xml:space="preserve">позволит начать </w:t>
            </w:r>
            <w:r w:rsidRPr="001E471E">
              <w:rPr>
                <w:sz w:val="24"/>
                <w:szCs w:val="24"/>
              </w:rPr>
              <w:t>разреш</w:t>
            </w:r>
            <w:r>
              <w:rPr>
                <w:sz w:val="24"/>
                <w:szCs w:val="24"/>
              </w:rPr>
              <w:t>а</w:t>
            </w:r>
            <w:r w:rsidRPr="001E471E">
              <w:rPr>
                <w:sz w:val="24"/>
                <w:szCs w:val="24"/>
              </w:rPr>
              <w:t xml:space="preserve">ть проблему с низким уровнем заработной платы персонала ресурсоснабжающих </w:t>
            </w:r>
            <w:r>
              <w:rPr>
                <w:sz w:val="24"/>
                <w:szCs w:val="24"/>
              </w:rPr>
              <w:t>о</w:t>
            </w:r>
            <w:r w:rsidRPr="001E471E">
              <w:rPr>
                <w:sz w:val="24"/>
                <w:szCs w:val="24"/>
              </w:rPr>
              <w:t>рганизаций</w:t>
            </w:r>
            <w:r>
              <w:rPr>
                <w:sz w:val="24"/>
                <w:szCs w:val="24"/>
              </w:rPr>
              <w:t>,</w:t>
            </w:r>
            <w:r w:rsidRPr="001E471E">
              <w:rPr>
                <w:sz w:val="24"/>
                <w:szCs w:val="24"/>
              </w:rPr>
              <w:t xml:space="preserve"> работающих в условиях пандемии, высвободить средства на статьи</w:t>
            </w:r>
            <w:r>
              <w:rPr>
                <w:sz w:val="24"/>
                <w:szCs w:val="24"/>
              </w:rPr>
              <w:t>,</w:t>
            </w:r>
            <w:r w:rsidRPr="001E471E">
              <w:rPr>
                <w:sz w:val="24"/>
                <w:szCs w:val="24"/>
              </w:rPr>
              <w:t xml:space="preserve"> не предусмотренные </w:t>
            </w:r>
            <w:r>
              <w:rPr>
                <w:sz w:val="24"/>
                <w:szCs w:val="24"/>
              </w:rPr>
              <w:t xml:space="preserve">в </w:t>
            </w:r>
            <w:r w:rsidRPr="001E471E">
              <w:rPr>
                <w:sz w:val="24"/>
                <w:szCs w:val="24"/>
              </w:rPr>
              <w:t>тарифах или предусмотренные</w:t>
            </w:r>
            <w:r>
              <w:rPr>
                <w:sz w:val="24"/>
                <w:szCs w:val="24"/>
              </w:rPr>
              <w:t>,</w:t>
            </w:r>
            <w:r w:rsidRPr="001E471E">
              <w:rPr>
                <w:sz w:val="24"/>
                <w:szCs w:val="24"/>
              </w:rPr>
              <w:t xml:space="preserve"> как правило</w:t>
            </w:r>
            <w:r>
              <w:rPr>
                <w:sz w:val="24"/>
                <w:szCs w:val="24"/>
              </w:rPr>
              <w:t>,</w:t>
            </w:r>
            <w:r w:rsidRPr="001E471E">
              <w:rPr>
                <w:sz w:val="24"/>
                <w:szCs w:val="24"/>
              </w:rPr>
              <w:t xml:space="preserve"> в не обоснованном объёме</w:t>
            </w:r>
            <w:r>
              <w:rPr>
                <w:sz w:val="24"/>
                <w:szCs w:val="24"/>
              </w:rPr>
              <w:t>, что приведет к р</w:t>
            </w:r>
            <w:r w:rsidRPr="001E471E">
              <w:rPr>
                <w:sz w:val="24"/>
                <w:szCs w:val="24"/>
              </w:rPr>
              <w:t>ешени</w:t>
            </w:r>
            <w:r>
              <w:rPr>
                <w:sz w:val="24"/>
                <w:szCs w:val="24"/>
              </w:rPr>
              <w:t>ю</w:t>
            </w:r>
            <w:r w:rsidRPr="001E471E">
              <w:rPr>
                <w:sz w:val="24"/>
                <w:szCs w:val="24"/>
              </w:rPr>
              <w:t xml:space="preserve"> ряда эксплуатационных проблем без увеличени</w:t>
            </w:r>
            <w:r>
              <w:rPr>
                <w:sz w:val="24"/>
                <w:szCs w:val="24"/>
              </w:rPr>
              <w:t>я</w:t>
            </w:r>
            <w:r w:rsidRPr="001E471E">
              <w:rPr>
                <w:sz w:val="24"/>
                <w:szCs w:val="24"/>
              </w:rPr>
              <w:t xml:space="preserve"> уровня существующего тарифа.</w:t>
            </w:r>
          </w:p>
        </w:tc>
      </w:tr>
      <w:tr w:rsidR="00A91D3F" w:rsidRPr="00D00B04" w14:paraId="2DA3C759" w14:textId="77777777" w:rsidTr="00CE5730">
        <w:tc>
          <w:tcPr>
            <w:tcW w:w="846" w:type="dxa"/>
          </w:tcPr>
          <w:p w14:paraId="6379F4E3" w14:textId="77777777" w:rsidR="00A91D3F" w:rsidRPr="00D00B04" w:rsidRDefault="00A91D3F" w:rsidP="0082117B">
            <w:pPr>
              <w:pStyle w:val="a4"/>
              <w:numPr>
                <w:ilvl w:val="0"/>
                <w:numId w:val="1"/>
              </w:numPr>
              <w:ind w:left="0" w:firstLine="0"/>
              <w:rPr>
                <w:sz w:val="24"/>
                <w:szCs w:val="20"/>
              </w:rPr>
            </w:pPr>
          </w:p>
        </w:tc>
        <w:tc>
          <w:tcPr>
            <w:tcW w:w="6379" w:type="dxa"/>
          </w:tcPr>
          <w:p w14:paraId="58B4884C" w14:textId="799ABB35" w:rsidR="00A91D3F" w:rsidRPr="00D00B04" w:rsidRDefault="00A91D3F" w:rsidP="0082117B">
            <w:pPr>
              <w:jc w:val="both"/>
              <w:rPr>
                <w:sz w:val="24"/>
                <w:szCs w:val="20"/>
              </w:rPr>
            </w:pPr>
            <w:r w:rsidRPr="00D00B04">
              <w:rPr>
                <w:sz w:val="24"/>
                <w:szCs w:val="20"/>
              </w:rPr>
              <w:t>Измен</w:t>
            </w:r>
            <w:r w:rsidR="001D723C">
              <w:rPr>
                <w:sz w:val="24"/>
                <w:szCs w:val="20"/>
              </w:rPr>
              <w:t>ить</w:t>
            </w:r>
            <w:r w:rsidRPr="00D00B04">
              <w:rPr>
                <w:sz w:val="24"/>
                <w:szCs w:val="20"/>
              </w:rPr>
              <w:t xml:space="preserve"> порогово</w:t>
            </w:r>
            <w:r w:rsidR="001D723C">
              <w:rPr>
                <w:sz w:val="24"/>
                <w:szCs w:val="20"/>
              </w:rPr>
              <w:t>е</w:t>
            </w:r>
            <w:r w:rsidRPr="00D00B04">
              <w:rPr>
                <w:sz w:val="24"/>
                <w:szCs w:val="20"/>
              </w:rPr>
              <w:t xml:space="preserve"> значени</w:t>
            </w:r>
            <w:r w:rsidR="001D723C">
              <w:rPr>
                <w:sz w:val="24"/>
                <w:szCs w:val="20"/>
              </w:rPr>
              <w:t>е</w:t>
            </w:r>
            <w:r w:rsidRPr="00D00B04">
              <w:rPr>
                <w:sz w:val="24"/>
                <w:szCs w:val="20"/>
              </w:rPr>
              <w:t xml:space="preserve"> величины резерва по сомнительным долгам, учитываемым при определении налоговой базы по налогу на прибыль организаций, с определением такого значения на уровне 20% с применением данного положения  до конца 2021</w:t>
            </w:r>
            <w:r w:rsidR="008E239B">
              <w:rPr>
                <w:sz w:val="24"/>
                <w:szCs w:val="20"/>
              </w:rPr>
              <w:t xml:space="preserve"> </w:t>
            </w:r>
            <w:r w:rsidRPr="00D00B04">
              <w:rPr>
                <w:sz w:val="24"/>
                <w:szCs w:val="20"/>
              </w:rPr>
              <w:t>г.</w:t>
            </w:r>
          </w:p>
        </w:tc>
        <w:tc>
          <w:tcPr>
            <w:tcW w:w="7938" w:type="dxa"/>
          </w:tcPr>
          <w:p w14:paraId="20DDB1AA" w14:textId="2F9AF460" w:rsidR="00A91D3F" w:rsidRPr="00493A8A" w:rsidRDefault="00A91D3F" w:rsidP="0082117B">
            <w:pPr>
              <w:jc w:val="both"/>
              <w:rPr>
                <w:sz w:val="24"/>
                <w:szCs w:val="20"/>
              </w:rPr>
            </w:pPr>
            <w:r w:rsidRPr="00493A8A">
              <w:rPr>
                <w:sz w:val="24"/>
                <w:szCs w:val="20"/>
              </w:rPr>
              <w:t xml:space="preserve">Проблема снижения сбора платежей за услуги ЖКХ, безусловно, существует, но сомнительным к взысканию можно посчитать только долг трехлетней давности. Т.е. организации должны доказать регулирующим органам, что для них нереально взыскание долгов в размере 20% от выручки. Суды сейчас не рассматривают часть дел. Взыскание с населения запрещено в принудительном порядке. Соответственно, организации без заключений приставов не смогут доказать регулирующим органам, что задолженность не может быть возвращена. </w:t>
            </w:r>
          </w:p>
          <w:p w14:paraId="73F5895E" w14:textId="77777777" w:rsidR="00A91D3F" w:rsidRPr="00493A8A" w:rsidRDefault="00A91D3F" w:rsidP="0082117B">
            <w:pPr>
              <w:jc w:val="both"/>
              <w:rPr>
                <w:sz w:val="24"/>
                <w:szCs w:val="20"/>
              </w:rPr>
            </w:pPr>
            <w:r w:rsidRPr="00493A8A">
              <w:rPr>
                <w:sz w:val="24"/>
                <w:szCs w:val="20"/>
              </w:rPr>
              <w:t>На настоящий момент единицы из организаций имеют в тарифах данную статью. Кроме того нарушается принцип социальной справедливости, так как регулярно оплачивающие ЖКУ граждане и предприятия, при включении таких сумм в тарифы заплатят по чужим долгам.</w:t>
            </w:r>
          </w:p>
        </w:tc>
      </w:tr>
      <w:tr w:rsidR="00A91D3F" w:rsidRPr="002160A8" w14:paraId="6EE0B964" w14:textId="77777777" w:rsidTr="00CE5730">
        <w:tc>
          <w:tcPr>
            <w:tcW w:w="846" w:type="dxa"/>
          </w:tcPr>
          <w:p w14:paraId="7F235FE5" w14:textId="32859817" w:rsidR="00A91D3F" w:rsidRPr="002160A8" w:rsidRDefault="00A91D3F" w:rsidP="0082117B">
            <w:pPr>
              <w:pStyle w:val="a4"/>
              <w:numPr>
                <w:ilvl w:val="0"/>
                <w:numId w:val="1"/>
              </w:numPr>
              <w:ind w:left="0" w:firstLine="0"/>
              <w:rPr>
                <w:sz w:val="24"/>
                <w:szCs w:val="20"/>
              </w:rPr>
            </w:pPr>
          </w:p>
        </w:tc>
        <w:tc>
          <w:tcPr>
            <w:tcW w:w="6379" w:type="dxa"/>
          </w:tcPr>
          <w:p w14:paraId="0B22C7BC" w14:textId="43E3617F" w:rsidR="00A91D3F" w:rsidRPr="002160A8" w:rsidRDefault="001D723C" w:rsidP="0082117B">
            <w:pPr>
              <w:jc w:val="both"/>
              <w:rPr>
                <w:sz w:val="24"/>
                <w:szCs w:val="20"/>
              </w:rPr>
            </w:pPr>
            <w:r>
              <w:rPr>
                <w:sz w:val="24"/>
                <w:szCs w:val="20"/>
              </w:rPr>
              <w:t>Ввести м</w:t>
            </w:r>
            <w:r w:rsidR="00A91D3F" w:rsidRPr="002160A8">
              <w:rPr>
                <w:sz w:val="24"/>
                <w:szCs w:val="20"/>
              </w:rPr>
              <w:t>ораторий на применение штрафных санкций по налогам и страховым взносам, в том числе и по платежам 2019 г.</w:t>
            </w:r>
          </w:p>
        </w:tc>
        <w:tc>
          <w:tcPr>
            <w:tcW w:w="7938" w:type="dxa"/>
          </w:tcPr>
          <w:p w14:paraId="50552E5E" w14:textId="77777777" w:rsidR="00A91D3F" w:rsidRPr="002160A8" w:rsidRDefault="00A91D3F" w:rsidP="0082117B">
            <w:pPr>
              <w:jc w:val="both"/>
              <w:rPr>
                <w:sz w:val="24"/>
                <w:szCs w:val="20"/>
              </w:rPr>
            </w:pPr>
            <w:r w:rsidRPr="002160A8">
              <w:rPr>
                <w:sz w:val="24"/>
                <w:szCs w:val="20"/>
              </w:rPr>
              <w:t xml:space="preserve">Многие организации ЖКХ регулярно имеют задолженности по налогам и взносам государству. При применении этой меры должна быть серьезная оговорка, что потом эти организации смогут платить долги с рассрочкой в период не менее года, в противном случае, начнутся аресты </w:t>
            </w:r>
            <w:proofErr w:type="gramStart"/>
            <w:r w:rsidRPr="002160A8">
              <w:rPr>
                <w:sz w:val="24"/>
                <w:szCs w:val="20"/>
              </w:rPr>
              <w:t>счетов</w:t>
            </w:r>
            <w:proofErr w:type="gramEnd"/>
            <w:r w:rsidRPr="002160A8">
              <w:rPr>
                <w:sz w:val="24"/>
                <w:szCs w:val="20"/>
              </w:rPr>
              <w:t xml:space="preserve"> и организации не смогут оплачивать за полученные энергоресурсы и выдавать заработную плату, так как долги будут востребованы единовременно.</w:t>
            </w:r>
          </w:p>
        </w:tc>
      </w:tr>
      <w:tr w:rsidR="00A91D3F" w:rsidRPr="002160A8" w14:paraId="21A4EBB6" w14:textId="77777777" w:rsidTr="00CE5730">
        <w:tc>
          <w:tcPr>
            <w:tcW w:w="846" w:type="dxa"/>
          </w:tcPr>
          <w:p w14:paraId="3E352B16" w14:textId="77777777" w:rsidR="00A91D3F" w:rsidRPr="002160A8" w:rsidRDefault="00A91D3F" w:rsidP="0082117B">
            <w:pPr>
              <w:pStyle w:val="a4"/>
              <w:numPr>
                <w:ilvl w:val="0"/>
                <w:numId w:val="1"/>
              </w:numPr>
              <w:ind w:left="0" w:firstLine="0"/>
              <w:rPr>
                <w:sz w:val="24"/>
                <w:szCs w:val="20"/>
              </w:rPr>
            </w:pPr>
          </w:p>
        </w:tc>
        <w:tc>
          <w:tcPr>
            <w:tcW w:w="6379" w:type="dxa"/>
          </w:tcPr>
          <w:p w14:paraId="18C2CB47" w14:textId="170493A8" w:rsidR="00A91D3F" w:rsidRPr="002160A8" w:rsidRDefault="00A91D3F" w:rsidP="0082117B">
            <w:pPr>
              <w:jc w:val="both"/>
              <w:rPr>
                <w:sz w:val="24"/>
                <w:szCs w:val="20"/>
              </w:rPr>
            </w:pPr>
            <w:r w:rsidRPr="002160A8">
              <w:rPr>
                <w:sz w:val="24"/>
                <w:szCs w:val="20"/>
              </w:rPr>
              <w:t>Измен</w:t>
            </w:r>
            <w:r w:rsidR="001D723C">
              <w:rPr>
                <w:sz w:val="24"/>
                <w:szCs w:val="20"/>
              </w:rPr>
              <w:t>ить</w:t>
            </w:r>
            <w:r w:rsidRPr="002160A8">
              <w:rPr>
                <w:sz w:val="24"/>
                <w:szCs w:val="20"/>
              </w:rPr>
              <w:t xml:space="preserve"> срок уплаты НДС и отм</w:t>
            </w:r>
            <w:r w:rsidR="001D723C">
              <w:rPr>
                <w:sz w:val="24"/>
                <w:szCs w:val="20"/>
              </w:rPr>
              <w:t>енить</w:t>
            </w:r>
            <w:r w:rsidRPr="002160A8">
              <w:rPr>
                <w:sz w:val="24"/>
                <w:szCs w:val="20"/>
              </w:rPr>
              <w:t xml:space="preserve"> авансовы</w:t>
            </w:r>
            <w:r w:rsidR="001D723C">
              <w:rPr>
                <w:sz w:val="24"/>
                <w:szCs w:val="20"/>
              </w:rPr>
              <w:t>е</w:t>
            </w:r>
            <w:r w:rsidRPr="002160A8">
              <w:rPr>
                <w:sz w:val="24"/>
                <w:szCs w:val="20"/>
              </w:rPr>
              <w:t xml:space="preserve"> платеж</w:t>
            </w:r>
            <w:r w:rsidR="001D723C">
              <w:rPr>
                <w:sz w:val="24"/>
                <w:szCs w:val="20"/>
              </w:rPr>
              <w:t>и</w:t>
            </w:r>
            <w:r w:rsidRPr="002160A8">
              <w:rPr>
                <w:sz w:val="24"/>
                <w:szCs w:val="20"/>
              </w:rPr>
              <w:t xml:space="preserve"> по налогу на прибыль.</w:t>
            </w:r>
          </w:p>
        </w:tc>
        <w:tc>
          <w:tcPr>
            <w:tcW w:w="7938" w:type="dxa"/>
          </w:tcPr>
          <w:p w14:paraId="03FD25EF" w14:textId="77777777" w:rsidR="00A91D3F" w:rsidRPr="002160A8" w:rsidRDefault="00A91D3F" w:rsidP="0082117B">
            <w:pPr>
              <w:jc w:val="both"/>
              <w:rPr>
                <w:sz w:val="24"/>
                <w:szCs w:val="20"/>
              </w:rPr>
            </w:pPr>
            <w:r w:rsidRPr="002160A8">
              <w:rPr>
                <w:sz w:val="24"/>
                <w:szCs w:val="20"/>
              </w:rPr>
              <w:t>Изменение срока уплаты НДС и отмена авансовых платежей по налогу на прибыль позволят организациям ЖКХ восстановить финансовую состоятельность для осуществления текущей деятельности.</w:t>
            </w:r>
          </w:p>
        </w:tc>
      </w:tr>
      <w:tr w:rsidR="00A91D3F" w:rsidRPr="008817BA" w14:paraId="2E66DE55" w14:textId="77777777" w:rsidTr="00CE5730">
        <w:tc>
          <w:tcPr>
            <w:tcW w:w="846" w:type="dxa"/>
          </w:tcPr>
          <w:p w14:paraId="4EF36D33" w14:textId="77777777" w:rsidR="00A91D3F" w:rsidRPr="008817BA" w:rsidRDefault="00A91D3F" w:rsidP="0082117B">
            <w:pPr>
              <w:pStyle w:val="a4"/>
              <w:numPr>
                <w:ilvl w:val="0"/>
                <w:numId w:val="1"/>
              </w:numPr>
              <w:ind w:left="0" w:firstLine="0"/>
              <w:rPr>
                <w:sz w:val="24"/>
                <w:szCs w:val="20"/>
              </w:rPr>
            </w:pPr>
          </w:p>
        </w:tc>
        <w:tc>
          <w:tcPr>
            <w:tcW w:w="6379" w:type="dxa"/>
          </w:tcPr>
          <w:p w14:paraId="6BB10D53" w14:textId="21027BC8" w:rsidR="00A91D3F" w:rsidRPr="002160A8" w:rsidRDefault="00A91D3F" w:rsidP="0082117B">
            <w:pPr>
              <w:jc w:val="both"/>
              <w:rPr>
                <w:sz w:val="24"/>
                <w:szCs w:val="20"/>
              </w:rPr>
            </w:pPr>
            <w:r w:rsidRPr="002160A8">
              <w:rPr>
                <w:sz w:val="24"/>
                <w:szCs w:val="20"/>
              </w:rPr>
              <w:t>Продл</w:t>
            </w:r>
            <w:r w:rsidR="001D723C">
              <w:rPr>
                <w:sz w:val="24"/>
                <w:szCs w:val="20"/>
              </w:rPr>
              <w:t>ить</w:t>
            </w:r>
            <w:r w:rsidRPr="002160A8">
              <w:rPr>
                <w:sz w:val="24"/>
                <w:szCs w:val="20"/>
              </w:rPr>
              <w:t xml:space="preserve"> срок</w:t>
            </w:r>
            <w:r w:rsidR="001D723C">
              <w:rPr>
                <w:sz w:val="24"/>
                <w:szCs w:val="20"/>
              </w:rPr>
              <w:t>и</w:t>
            </w:r>
            <w:r w:rsidRPr="002160A8">
              <w:rPr>
                <w:sz w:val="24"/>
                <w:szCs w:val="20"/>
              </w:rPr>
              <w:t xml:space="preserve"> оплаты экологических платежей с 10.04.2020 по 31.12.2020.</w:t>
            </w:r>
          </w:p>
        </w:tc>
        <w:tc>
          <w:tcPr>
            <w:tcW w:w="7938" w:type="dxa"/>
          </w:tcPr>
          <w:p w14:paraId="02591427" w14:textId="77777777" w:rsidR="00A91D3F" w:rsidRPr="008817BA" w:rsidRDefault="00A91D3F" w:rsidP="0082117B">
            <w:pPr>
              <w:jc w:val="both"/>
              <w:rPr>
                <w:sz w:val="24"/>
                <w:szCs w:val="20"/>
              </w:rPr>
            </w:pPr>
            <w:r w:rsidRPr="002160A8">
              <w:rPr>
                <w:sz w:val="24"/>
                <w:szCs w:val="20"/>
              </w:rPr>
              <w:t xml:space="preserve">Мера является рассрочкой уплаты долга. Организации в конечном итоге получат рассрочку по выплате долгов за природопользование. </w:t>
            </w:r>
          </w:p>
        </w:tc>
      </w:tr>
    </w:tbl>
    <w:p w14:paraId="779C39FF" w14:textId="669DD805" w:rsidR="00A91D3F" w:rsidRDefault="00A91D3F"/>
    <w:p w14:paraId="4E08DEDE" w14:textId="10825E28" w:rsidR="00A91D3F" w:rsidRPr="00A91D3F" w:rsidRDefault="00A91D3F" w:rsidP="00A91D3F">
      <w:pPr>
        <w:pStyle w:val="a4"/>
        <w:numPr>
          <w:ilvl w:val="0"/>
          <w:numId w:val="2"/>
        </w:numPr>
        <w:ind w:left="426" w:hanging="426"/>
        <w:jc w:val="both"/>
        <w:rPr>
          <w:rFonts w:cs="Times New Roman"/>
          <w:sz w:val="26"/>
          <w:szCs w:val="26"/>
        </w:rPr>
      </w:pPr>
      <w:r w:rsidRPr="00661BBB">
        <w:rPr>
          <w:rFonts w:cs="Times New Roman"/>
          <w:b/>
          <w:sz w:val="26"/>
          <w:szCs w:val="26"/>
        </w:rPr>
        <w:t>Секторальные меры стимулирования развития отраслей экономики</w:t>
      </w:r>
    </w:p>
    <w:p w14:paraId="455AC0E4" w14:textId="000E6141" w:rsidR="00A91D3F" w:rsidRDefault="00A91D3F" w:rsidP="00A91D3F">
      <w:pPr>
        <w:pStyle w:val="a4"/>
        <w:numPr>
          <w:ilvl w:val="1"/>
          <w:numId w:val="2"/>
        </w:numPr>
        <w:jc w:val="both"/>
        <w:rPr>
          <w:rFonts w:cs="Times New Roman"/>
          <w:b/>
          <w:sz w:val="26"/>
          <w:szCs w:val="26"/>
        </w:rPr>
      </w:pPr>
      <w:r w:rsidRPr="00661BBB">
        <w:rPr>
          <w:rFonts w:cs="Times New Roman"/>
          <w:b/>
          <w:sz w:val="26"/>
          <w:szCs w:val="26"/>
        </w:rPr>
        <w:t>Предоставление преференций</w:t>
      </w:r>
    </w:p>
    <w:p w14:paraId="42B5B103" w14:textId="77777777" w:rsidR="004F4D41" w:rsidRPr="004F4D41" w:rsidRDefault="004F4D41" w:rsidP="004F4D41">
      <w:pPr>
        <w:pStyle w:val="a4"/>
        <w:ind w:left="1080"/>
        <w:jc w:val="both"/>
        <w:rPr>
          <w:rFonts w:cs="Times New Roman"/>
          <w:b/>
          <w:sz w:val="14"/>
          <w:szCs w:val="14"/>
        </w:rPr>
      </w:pPr>
    </w:p>
    <w:tbl>
      <w:tblPr>
        <w:tblStyle w:val="a3"/>
        <w:tblW w:w="0" w:type="auto"/>
        <w:tblLook w:val="04A0" w:firstRow="1" w:lastRow="0" w:firstColumn="1" w:lastColumn="0" w:noHBand="0" w:noVBand="1"/>
      </w:tblPr>
      <w:tblGrid>
        <w:gridCol w:w="846"/>
        <w:gridCol w:w="6379"/>
        <w:gridCol w:w="7938"/>
      </w:tblGrid>
      <w:tr w:rsidR="00A91D3F" w:rsidRPr="001E471E" w14:paraId="0B052AD6" w14:textId="77777777" w:rsidTr="00CE5730">
        <w:tc>
          <w:tcPr>
            <w:tcW w:w="846" w:type="dxa"/>
          </w:tcPr>
          <w:p w14:paraId="481783BB" w14:textId="77777777" w:rsidR="00A91D3F" w:rsidRPr="001E471E" w:rsidRDefault="00A91D3F" w:rsidP="0082117B">
            <w:pPr>
              <w:jc w:val="center"/>
              <w:rPr>
                <w:b/>
                <w:bCs/>
                <w:sz w:val="24"/>
                <w:szCs w:val="24"/>
              </w:rPr>
            </w:pPr>
            <w:r w:rsidRPr="001E471E">
              <w:rPr>
                <w:b/>
                <w:bCs/>
                <w:sz w:val="24"/>
                <w:szCs w:val="24"/>
              </w:rPr>
              <w:t>№№</w:t>
            </w:r>
          </w:p>
          <w:p w14:paraId="492575CC" w14:textId="77777777" w:rsidR="00A91D3F" w:rsidRPr="001E471E" w:rsidRDefault="00A91D3F" w:rsidP="0082117B">
            <w:pPr>
              <w:jc w:val="center"/>
              <w:rPr>
                <w:b/>
                <w:bCs/>
                <w:sz w:val="24"/>
                <w:szCs w:val="24"/>
              </w:rPr>
            </w:pPr>
            <w:proofErr w:type="spellStart"/>
            <w:r w:rsidRPr="001E471E">
              <w:rPr>
                <w:b/>
                <w:bCs/>
                <w:sz w:val="24"/>
                <w:szCs w:val="24"/>
              </w:rPr>
              <w:t>пп</w:t>
            </w:r>
            <w:proofErr w:type="spellEnd"/>
          </w:p>
        </w:tc>
        <w:tc>
          <w:tcPr>
            <w:tcW w:w="6379" w:type="dxa"/>
          </w:tcPr>
          <w:p w14:paraId="3D24FD49" w14:textId="77777777" w:rsidR="00A91D3F" w:rsidRPr="001E471E" w:rsidRDefault="00A91D3F" w:rsidP="0082117B">
            <w:pPr>
              <w:jc w:val="center"/>
              <w:rPr>
                <w:b/>
                <w:bCs/>
                <w:sz w:val="24"/>
                <w:szCs w:val="24"/>
              </w:rPr>
            </w:pPr>
            <w:r w:rsidRPr="001E471E">
              <w:rPr>
                <w:b/>
                <w:bCs/>
                <w:sz w:val="24"/>
                <w:szCs w:val="24"/>
              </w:rPr>
              <w:t>Мероприятие</w:t>
            </w:r>
          </w:p>
        </w:tc>
        <w:tc>
          <w:tcPr>
            <w:tcW w:w="7938" w:type="dxa"/>
          </w:tcPr>
          <w:p w14:paraId="4F159BC1" w14:textId="77777777" w:rsidR="00A91D3F" w:rsidRPr="001E471E" w:rsidRDefault="00A91D3F" w:rsidP="0082117B">
            <w:pPr>
              <w:jc w:val="center"/>
              <w:rPr>
                <w:b/>
                <w:bCs/>
                <w:sz w:val="24"/>
                <w:szCs w:val="24"/>
              </w:rPr>
            </w:pPr>
            <w:r w:rsidRPr="001E471E">
              <w:rPr>
                <w:b/>
                <w:bCs/>
                <w:sz w:val="24"/>
                <w:szCs w:val="24"/>
              </w:rPr>
              <w:t>Обоснование (суть проблемы)</w:t>
            </w:r>
            <w:r>
              <w:rPr>
                <w:b/>
                <w:bCs/>
                <w:sz w:val="24"/>
                <w:szCs w:val="24"/>
              </w:rPr>
              <w:t>,</w:t>
            </w:r>
            <w:r w:rsidRPr="001E471E">
              <w:rPr>
                <w:b/>
                <w:bCs/>
                <w:sz w:val="24"/>
                <w:szCs w:val="24"/>
              </w:rPr>
              <w:t xml:space="preserve"> </w:t>
            </w:r>
            <w:r>
              <w:rPr>
                <w:b/>
                <w:bCs/>
                <w:sz w:val="24"/>
                <w:szCs w:val="24"/>
              </w:rPr>
              <w:br/>
              <w:t>о</w:t>
            </w:r>
            <w:r w:rsidRPr="001E471E">
              <w:rPr>
                <w:b/>
                <w:bCs/>
                <w:sz w:val="24"/>
                <w:szCs w:val="24"/>
              </w:rPr>
              <w:t>жидаемый результат</w:t>
            </w:r>
          </w:p>
        </w:tc>
      </w:tr>
      <w:tr w:rsidR="008D5503" w:rsidRPr="00CE5730" w14:paraId="02D5F636" w14:textId="77777777" w:rsidTr="00CE5730">
        <w:tc>
          <w:tcPr>
            <w:tcW w:w="846" w:type="dxa"/>
          </w:tcPr>
          <w:p w14:paraId="71E292B7" w14:textId="77777777" w:rsidR="008D5503" w:rsidRPr="00CE5730" w:rsidRDefault="008D5503" w:rsidP="002C1954">
            <w:pPr>
              <w:pStyle w:val="a4"/>
              <w:numPr>
                <w:ilvl w:val="0"/>
                <w:numId w:val="1"/>
              </w:numPr>
              <w:ind w:left="0" w:firstLine="0"/>
              <w:rPr>
                <w:sz w:val="24"/>
                <w:szCs w:val="24"/>
              </w:rPr>
            </w:pPr>
          </w:p>
        </w:tc>
        <w:tc>
          <w:tcPr>
            <w:tcW w:w="6379" w:type="dxa"/>
          </w:tcPr>
          <w:p w14:paraId="1C237962" w14:textId="50C03281" w:rsidR="008D5503" w:rsidRPr="00CE5730" w:rsidRDefault="008D5503" w:rsidP="0093337B">
            <w:pPr>
              <w:jc w:val="both"/>
              <w:rPr>
                <w:sz w:val="24"/>
                <w:szCs w:val="24"/>
              </w:rPr>
            </w:pPr>
            <w:r w:rsidRPr="00CE5730">
              <w:rPr>
                <w:sz w:val="24"/>
                <w:szCs w:val="24"/>
              </w:rPr>
              <w:t xml:space="preserve">Включить организации жилищной и коммунальной сфер экономики в список отраслей, наиболее пострадавших от пандемии </w:t>
            </w:r>
          </w:p>
        </w:tc>
        <w:tc>
          <w:tcPr>
            <w:tcW w:w="7938" w:type="dxa"/>
          </w:tcPr>
          <w:p w14:paraId="6C0B7761" w14:textId="44524CF4" w:rsidR="008D5503" w:rsidRPr="00CE5730" w:rsidRDefault="008D5503" w:rsidP="00CE5730">
            <w:pPr>
              <w:pStyle w:val="1"/>
              <w:shd w:val="clear" w:color="auto" w:fill="auto"/>
              <w:spacing w:after="0"/>
              <w:ind w:firstLine="0"/>
              <w:rPr>
                <w:sz w:val="24"/>
                <w:szCs w:val="24"/>
              </w:rPr>
            </w:pPr>
            <w:r w:rsidRPr="00CE5730">
              <w:rPr>
                <w:sz w:val="24"/>
                <w:szCs w:val="24"/>
              </w:rPr>
              <w:t xml:space="preserve">В настоящее время, когда ситуация в борьбе с коронавирусом </w:t>
            </w:r>
            <w:r w:rsidRPr="00CE5730">
              <w:rPr>
                <w:sz w:val="24"/>
                <w:szCs w:val="24"/>
                <w:lang w:val="en-US"/>
              </w:rPr>
              <w:t>COVID</w:t>
            </w:r>
            <w:r w:rsidRPr="00CE5730">
              <w:rPr>
                <w:sz w:val="24"/>
                <w:szCs w:val="24"/>
              </w:rPr>
              <w:t>-19 в России получила особую остроту, место работников отраслей жизнеобеспечения населения приобрело особое значение и важность в преодолении эпидемии.</w:t>
            </w:r>
            <w:r w:rsidR="00CE5730" w:rsidRPr="00CE5730">
              <w:rPr>
                <w:sz w:val="24"/>
                <w:szCs w:val="24"/>
              </w:rPr>
              <w:t xml:space="preserve"> </w:t>
            </w:r>
            <w:r w:rsidRPr="00CE5730">
              <w:rPr>
                <w:sz w:val="24"/>
                <w:szCs w:val="24"/>
              </w:rPr>
              <w:t xml:space="preserve">В отрасли управления жилой недвижимостью функционирует более 15 тысяч организаций, управляющих более 500 </w:t>
            </w:r>
            <w:proofErr w:type="spellStart"/>
            <w:r w:rsidRPr="00CE5730">
              <w:rPr>
                <w:sz w:val="24"/>
                <w:szCs w:val="24"/>
              </w:rPr>
              <w:t>млн</w:t>
            </w:r>
            <w:proofErr w:type="gramStart"/>
            <w:r w:rsidRPr="00CE5730">
              <w:rPr>
                <w:sz w:val="24"/>
                <w:szCs w:val="24"/>
              </w:rPr>
              <w:t>.к</w:t>
            </w:r>
            <w:proofErr w:type="gramEnd"/>
            <w:r w:rsidRPr="00CE5730">
              <w:rPr>
                <w:sz w:val="24"/>
                <w:szCs w:val="24"/>
              </w:rPr>
              <w:t>в</w:t>
            </w:r>
            <w:proofErr w:type="spellEnd"/>
            <w:r w:rsidRPr="00CE5730">
              <w:rPr>
                <w:sz w:val="24"/>
                <w:szCs w:val="24"/>
              </w:rPr>
              <w:t xml:space="preserve"> метров жилья, в которых работает более 2,5 миллионов человек. Основная задача этих организаций и их работников состоит в обеспечении благоприятных и безопасных условий проживания граждан, надлежащее содержание общего имущества в многоквартирных домах (МКД), а также предоставление (обеспечение предоставления) коммунальных услуг гражданам в соответствии с заключенными с собственниками жилых и нежилых помещений договорами управления. </w:t>
            </w:r>
          </w:p>
          <w:p w14:paraId="0EEFB48F" w14:textId="4F5494FC" w:rsidR="008D5503" w:rsidRDefault="008D5503" w:rsidP="001E471E">
            <w:pPr>
              <w:pStyle w:val="1"/>
              <w:shd w:val="clear" w:color="auto" w:fill="auto"/>
              <w:spacing w:after="0"/>
              <w:ind w:firstLine="0"/>
              <w:rPr>
                <w:sz w:val="24"/>
                <w:szCs w:val="24"/>
              </w:rPr>
            </w:pPr>
            <w:r w:rsidRPr="00CE5730">
              <w:rPr>
                <w:sz w:val="24"/>
                <w:szCs w:val="24"/>
              </w:rPr>
              <w:t xml:space="preserve">Управляющие организации, предоставляя жилищные услуги, не имеют прибыль, которую можно было бы направить на проведение мероприятий по предотвращению распространения новой </w:t>
            </w:r>
            <w:proofErr w:type="spellStart"/>
            <w:r w:rsidRPr="00CE5730">
              <w:rPr>
                <w:sz w:val="24"/>
                <w:szCs w:val="24"/>
              </w:rPr>
              <w:t>коронавирусной</w:t>
            </w:r>
            <w:proofErr w:type="spellEnd"/>
            <w:r w:rsidRPr="00CE5730">
              <w:rPr>
                <w:sz w:val="24"/>
                <w:szCs w:val="24"/>
              </w:rPr>
              <w:t xml:space="preserve"> инфекции, так как стоимость работ принимается собственниками помещений многоквартирных домов на общем собрании или муниципальными властями исходя из фактических затрат на содержание и ремонт общего имущества многоквартирного дома. </w:t>
            </w:r>
          </w:p>
          <w:p w14:paraId="7AE4674D" w14:textId="77777777" w:rsidR="004F4D41" w:rsidRPr="00CE5730" w:rsidRDefault="004F4D41" w:rsidP="001E471E">
            <w:pPr>
              <w:pStyle w:val="1"/>
              <w:shd w:val="clear" w:color="auto" w:fill="auto"/>
              <w:spacing w:after="0"/>
              <w:ind w:firstLine="0"/>
              <w:rPr>
                <w:sz w:val="24"/>
                <w:szCs w:val="24"/>
              </w:rPr>
            </w:pPr>
          </w:p>
          <w:p w14:paraId="1CEE9038" w14:textId="77777777" w:rsidR="008D5503" w:rsidRPr="00CE5730" w:rsidRDefault="008D5503" w:rsidP="001E471E">
            <w:pPr>
              <w:pStyle w:val="1"/>
              <w:shd w:val="clear" w:color="auto" w:fill="auto"/>
              <w:spacing w:after="0"/>
              <w:ind w:firstLine="0"/>
              <w:rPr>
                <w:sz w:val="24"/>
                <w:szCs w:val="24"/>
              </w:rPr>
            </w:pPr>
            <w:proofErr w:type="gramStart"/>
            <w:r w:rsidRPr="00CE5730">
              <w:rPr>
                <w:sz w:val="24"/>
                <w:szCs w:val="24"/>
              </w:rPr>
              <w:lastRenderedPageBreak/>
              <w:t>Во всех подрядных организациях, обеспечивающих предоставление жилищных услуг, из-за принципа установления платы за содержание и ремонт общего имущества многоквартирных домов, доход складывается только из фонда заработной платы, материалов, обслуживания техники и налогов, как следствие нет резерва для выплаты заработной платы в период кризиса платежей за жилищные и коммунальные услуги, что может повлечь остановку работы управляющих организаций.</w:t>
            </w:r>
            <w:proofErr w:type="gramEnd"/>
          </w:p>
          <w:p w14:paraId="1782243E" w14:textId="32B2093E" w:rsidR="008D5503" w:rsidRPr="00CE5730" w:rsidRDefault="008D5503" w:rsidP="00D00B04">
            <w:pPr>
              <w:pStyle w:val="Textbody"/>
              <w:spacing w:after="0"/>
              <w:jc w:val="both"/>
              <w:rPr>
                <w:rFonts w:eastAsia="Times New Roman" w:cs="Times New Roman"/>
              </w:rPr>
            </w:pPr>
            <w:r w:rsidRPr="00CE5730">
              <w:rPr>
                <w:rFonts w:eastAsia="Times New Roman" w:cs="Times New Roman"/>
              </w:rPr>
              <w:t>В настоящее время показатели экономики управляющих организаций значительно ухудшаются - растет доля неплатежей граждан за жилищные и коммунальные услуги, значительные средства изымаются в виде различных штрафов</w:t>
            </w:r>
            <w:r w:rsidRPr="00CE5730">
              <w:rPr>
                <w:rFonts w:eastAsia="Times New Roman" w:cs="Times New Roman"/>
                <w:i/>
                <w:iCs/>
              </w:rPr>
              <w:t>.</w:t>
            </w:r>
            <w:r w:rsidRPr="00CE5730">
              <w:rPr>
                <w:rFonts w:eastAsia="Times New Roman" w:cs="Times New Roman"/>
              </w:rPr>
              <w:t xml:space="preserve"> </w:t>
            </w:r>
          </w:p>
          <w:p w14:paraId="17F464AB" w14:textId="7496BFC3" w:rsidR="008D5503" w:rsidRPr="004F4D41" w:rsidRDefault="008D5503" w:rsidP="00493A8A">
            <w:pPr>
              <w:jc w:val="both"/>
              <w:rPr>
                <w:sz w:val="24"/>
                <w:szCs w:val="24"/>
              </w:rPr>
            </w:pPr>
            <w:r w:rsidRPr="004F4D41">
              <w:rPr>
                <w:sz w:val="24"/>
                <w:szCs w:val="24"/>
              </w:rPr>
              <w:t>Эта мера положительно скажется на экономике организаций и надёжности предоставления ЖКУ.</w:t>
            </w:r>
          </w:p>
        </w:tc>
      </w:tr>
      <w:tr w:rsidR="008D5503" w:rsidRPr="00005094" w14:paraId="1AE6097E" w14:textId="77777777" w:rsidTr="00CE5730">
        <w:tc>
          <w:tcPr>
            <w:tcW w:w="846" w:type="dxa"/>
          </w:tcPr>
          <w:p w14:paraId="1228F01D" w14:textId="77777777" w:rsidR="008D5503" w:rsidRPr="001B125C" w:rsidRDefault="008D5503" w:rsidP="001B125C">
            <w:pPr>
              <w:pStyle w:val="a4"/>
              <w:numPr>
                <w:ilvl w:val="0"/>
                <w:numId w:val="1"/>
              </w:numPr>
              <w:ind w:left="0" w:firstLine="0"/>
              <w:rPr>
                <w:sz w:val="24"/>
                <w:szCs w:val="24"/>
              </w:rPr>
            </w:pPr>
          </w:p>
        </w:tc>
        <w:tc>
          <w:tcPr>
            <w:tcW w:w="6379" w:type="dxa"/>
          </w:tcPr>
          <w:p w14:paraId="06ED27A4" w14:textId="4E791131" w:rsidR="008D5503" w:rsidRPr="001B125C" w:rsidRDefault="008D5503" w:rsidP="00695D23">
            <w:pPr>
              <w:jc w:val="both"/>
              <w:rPr>
                <w:sz w:val="24"/>
                <w:szCs w:val="24"/>
              </w:rPr>
            </w:pPr>
            <w:r w:rsidRPr="001B125C">
              <w:rPr>
                <w:sz w:val="24"/>
                <w:szCs w:val="24"/>
              </w:rPr>
              <w:t>Приостановить с 1 июля 2020 действие (временно, сроком на 1 год) системы штрафов, назначаемых многочисленными проверяющими организациями (Государственные жилищные инспекции, Госпожнадзор, Ростехнадзор) для управляющих организаций, ТСЖ и др., заменив штрафы рекомендациями по устранению выявленных нарушений.</w:t>
            </w:r>
          </w:p>
        </w:tc>
        <w:tc>
          <w:tcPr>
            <w:tcW w:w="7938" w:type="dxa"/>
          </w:tcPr>
          <w:p w14:paraId="04D5C8B5" w14:textId="4148CFB8" w:rsidR="008D5503" w:rsidRPr="001B125C" w:rsidRDefault="008D5503" w:rsidP="00695D23">
            <w:pPr>
              <w:pStyle w:val="Textbody"/>
              <w:spacing w:after="0"/>
              <w:jc w:val="both"/>
              <w:rPr>
                <w:rFonts w:eastAsia="Times New Roman" w:cs="Times New Roman"/>
              </w:rPr>
            </w:pPr>
            <w:proofErr w:type="gramStart"/>
            <w:r w:rsidRPr="001B125C">
              <w:t xml:space="preserve">В условиях ухудшения ситуации в связи с распространением новой </w:t>
            </w:r>
            <w:proofErr w:type="spellStart"/>
            <w:r w:rsidRPr="001B125C">
              <w:t>коронавирусной</w:t>
            </w:r>
            <w:proofErr w:type="spellEnd"/>
            <w:r w:rsidRPr="001B125C">
              <w:t xml:space="preserve"> инфекции </w:t>
            </w:r>
            <w:r>
              <w:t>на фоне с</w:t>
            </w:r>
            <w:r w:rsidRPr="001E471E">
              <w:t>нижени</w:t>
            </w:r>
            <w:r>
              <w:t>я</w:t>
            </w:r>
            <w:r w:rsidRPr="001E471E">
              <w:t xml:space="preserve"> уровня оплаты за жилищные и коммунальные услуги граждан и юридических лиц </w:t>
            </w:r>
            <w:r w:rsidRPr="001B125C">
              <w:rPr>
                <w:rFonts w:eastAsia="Times New Roman" w:cs="Times New Roman"/>
              </w:rPr>
              <w:t>сохраняется система штрафов</w:t>
            </w:r>
            <w:r>
              <w:rPr>
                <w:rFonts w:eastAsia="Times New Roman" w:cs="Times New Roman"/>
              </w:rPr>
              <w:t xml:space="preserve"> в отношении управляющих организаций</w:t>
            </w:r>
            <w:r w:rsidRPr="001B125C">
              <w:rPr>
                <w:rFonts w:eastAsia="Times New Roman" w:cs="Times New Roman"/>
              </w:rPr>
              <w:t xml:space="preserve"> (Государственные жилищные инспекции, </w:t>
            </w:r>
            <w:proofErr w:type="spellStart"/>
            <w:r w:rsidRPr="001B125C">
              <w:rPr>
                <w:rFonts w:eastAsia="Times New Roman" w:cs="Times New Roman"/>
              </w:rPr>
              <w:t>Госпожарнадзор</w:t>
            </w:r>
            <w:proofErr w:type="spellEnd"/>
            <w:r w:rsidRPr="001B125C">
              <w:rPr>
                <w:rFonts w:eastAsia="Times New Roman" w:cs="Times New Roman"/>
              </w:rPr>
              <w:t xml:space="preserve">, </w:t>
            </w:r>
            <w:proofErr w:type="spellStart"/>
            <w:r w:rsidRPr="001B125C">
              <w:rPr>
                <w:rFonts w:eastAsia="Times New Roman" w:cs="Times New Roman"/>
              </w:rPr>
              <w:t>Ростехнадзор</w:t>
            </w:r>
            <w:proofErr w:type="spellEnd"/>
            <w:r w:rsidRPr="001B125C">
              <w:rPr>
                <w:rFonts w:eastAsia="Times New Roman" w:cs="Times New Roman"/>
              </w:rPr>
              <w:t xml:space="preserve">) за нарушение правил содержания и ремонта в МКД, которые достигают 100-250 тысяч рублей и </w:t>
            </w:r>
            <w:r>
              <w:rPr>
                <w:rFonts w:eastAsia="Times New Roman" w:cs="Times New Roman"/>
              </w:rPr>
              <w:t xml:space="preserve">могут </w:t>
            </w:r>
            <w:r w:rsidRPr="001B125C">
              <w:rPr>
                <w:rFonts w:eastAsia="Times New Roman" w:cs="Times New Roman"/>
              </w:rPr>
              <w:t>покрыват</w:t>
            </w:r>
            <w:r>
              <w:rPr>
                <w:rFonts w:eastAsia="Times New Roman" w:cs="Times New Roman"/>
              </w:rPr>
              <w:t>ь</w:t>
            </w:r>
            <w:r w:rsidRPr="001B125C">
              <w:rPr>
                <w:rFonts w:eastAsia="Times New Roman" w:cs="Times New Roman"/>
              </w:rPr>
              <w:t>ся только за счет платы собственников по договорам</w:t>
            </w:r>
            <w:proofErr w:type="gramEnd"/>
            <w:r w:rsidRPr="001B125C">
              <w:rPr>
                <w:rFonts w:eastAsia="Times New Roman" w:cs="Times New Roman"/>
              </w:rPr>
              <w:t xml:space="preserve"> управления МКД, так как управляющие организации не имеют ни достаточного уставного капитала, ни оборотных средств.</w:t>
            </w:r>
          </w:p>
          <w:p w14:paraId="53166B76" w14:textId="3505026D" w:rsidR="008D5503" w:rsidRPr="001B125C" w:rsidRDefault="008D5503" w:rsidP="00695D23">
            <w:pPr>
              <w:jc w:val="both"/>
              <w:rPr>
                <w:sz w:val="24"/>
                <w:szCs w:val="24"/>
              </w:rPr>
            </w:pPr>
            <w:r>
              <w:rPr>
                <w:sz w:val="24"/>
                <w:szCs w:val="24"/>
              </w:rPr>
              <w:t>Средства, изымаемые в виде штрафов, должны</w:t>
            </w:r>
            <w:r w:rsidRPr="001B125C">
              <w:rPr>
                <w:sz w:val="24"/>
                <w:szCs w:val="24"/>
              </w:rPr>
              <w:t xml:space="preserve"> направ</w:t>
            </w:r>
            <w:r>
              <w:rPr>
                <w:sz w:val="24"/>
                <w:szCs w:val="24"/>
              </w:rPr>
              <w:t>ляться</w:t>
            </w:r>
            <w:r w:rsidRPr="001B125C">
              <w:rPr>
                <w:sz w:val="24"/>
                <w:szCs w:val="24"/>
              </w:rPr>
              <w:t xml:space="preserve"> на содержание </w:t>
            </w:r>
            <w:r>
              <w:rPr>
                <w:sz w:val="24"/>
                <w:szCs w:val="24"/>
              </w:rPr>
              <w:t>общего имущества в МКД</w:t>
            </w:r>
            <w:r w:rsidRPr="001B125C">
              <w:rPr>
                <w:sz w:val="24"/>
                <w:szCs w:val="24"/>
              </w:rPr>
              <w:t xml:space="preserve"> и подготовку к </w:t>
            </w:r>
            <w:r>
              <w:rPr>
                <w:sz w:val="24"/>
                <w:szCs w:val="24"/>
              </w:rPr>
              <w:t>осенне-</w:t>
            </w:r>
            <w:r w:rsidRPr="001B125C">
              <w:rPr>
                <w:sz w:val="24"/>
                <w:szCs w:val="24"/>
              </w:rPr>
              <w:t>зим</w:t>
            </w:r>
            <w:r>
              <w:rPr>
                <w:sz w:val="24"/>
                <w:szCs w:val="24"/>
              </w:rPr>
              <w:t>нему периоду.</w:t>
            </w:r>
          </w:p>
        </w:tc>
      </w:tr>
      <w:tr w:rsidR="008D5503" w:rsidRPr="00761BD2" w14:paraId="280A8818" w14:textId="77777777" w:rsidTr="00CE5730">
        <w:tc>
          <w:tcPr>
            <w:tcW w:w="846" w:type="dxa"/>
          </w:tcPr>
          <w:p w14:paraId="7F16179D" w14:textId="77777777" w:rsidR="008D5503" w:rsidRPr="001E471E" w:rsidRDefault="008D5503" w:rsidP="002C1954">
            <w:pPr>
              <w:pStyle w:val="a4"/>
              <w:numPr>
                <w:ilvl w:val="0"/>
                <w:numId w:val="1"/>
              </w:numPr>
              <w:ind w:left="0" w:firstLine="0"/>
              <w:rPr>
                <w:sz w:val="24"/>
                <w:szCs w:val="24"/>
              </w:rPr>
            </w:pPr>
          </w:p>
        </w:tc>
        <w:tc>
          <w:tcPr>
            <w:tcW w:w="6379" w:type="dxa"/>
          </w:tcPr>
          <w:p w14:paraId="0D94E7EF" w14:textId="7673ED1F" w:rsidR="008D5503" w:rsidRPr="001E471E" w:rsidRDefault="008D5503" w:rsidP="00F473A3">
            <w:pPr>
              <w:jc w:val="both"/>
              <w:rPr>
                <w:sz w:val="24"/>
                <w:szCs w:val="24"/>
              </w:rPr>
            </w:pPr>
            <w:r w:rsidRPr="001E471E">
              <w:rPr>
                <w:sz w:val="24"/>
                <w:szCs w:val="24"/>
              </w:rPr>
              <w:t>Субсидирова</w:t>
            </w:r>
            <w:r>
              <w:rPr>
                <w:sz w:val="24"/>
                <w:szCs w:val="24"/>
              </w:rPr>
              <w:t>ть</w:t>
            </w:r>
            <w:r w:rsidRPr="001E471E">
              <w:rPr>
                <w:sz w:val="24"/>
                <w:szCs w:val="24"/>
              </w:rPr>
              <w:t xml:space="preserve"> расход</w:t>
            </w:r>
            <w:r>
              <w:rPr>
                <w:sz w:val="24"/>
                <w:szCs w:val="24"/>
              </w:rPr>
              <w:t>ы</w:t>
            </w:r>
            <w:r w:rsidRPr="001E471E">
              <w:rPr>
                <w:sz w:val="24"/>
                <w:szCs w:val="24"/>
              </w:rPr>
              <w:t xml:space="preserve"> </w:t>
            </w:r>
            <w:r>
              <w:rPr>
                <w:sz w:val="24"/>
                <w:szCs w:val="24"/>
              </w:rPr>
              <w:t>на</w:t>
            </w:r>
            <w:r w:rsidRPr="001E471E">
              <w:rPr>
                <w:sz w:val="24"/>
                <w:szCs w:val="24"/>
              </w:rPr>
              <w:t xml:space="preserve"> мероприятия </w:t>
            </w:r>
            <w:r>
              <w:rPr>
                <w:sz w:val="24"/>
                <w:szCs w:val="24"/>
              </w:rPr>
              <w:t xml:space="preserve">по </w:t>
            </w:r>
            <w:r w:rsidRPr="001E471E">
              <w:rPr>
                <w:sz w:val="24"/>
                <w:szCs w:val="24"/>
              </w:rPr>
              <w:t>подготовк</w:t>
            </w:r>
            <w:r>
              <w:rPr>
                <w:sz w:val="24"/>
                <w:szCs w:val="24"/>
              </w:rPr>
              <w:t>е</w:t>
            </w:r>
            <w:r w:rsidRPr="001E471E">
              <w:rPr>
                <w:sz w:val="24"/>
                <w:szCs w:val="24"/>
              </w:rPr>
              <w:t xml:space="preserve"> к осенне-зимнему периоду</w:t>
            </w:r>
            <w:r>
              <w:rPr>
                <w:sz w:val="24"/>
                <w:szCs w:val="24"/>
              </w:rPr>
              <w:t xml:space="preserve"> 2020-2021 гг.</w:t>
            </w:r>
          </w:p>
        </w:tc>
        <w:tc>
          <w:tcPr>
            <w:tcW w:w="7938" w:type="dxa"/>
          </w:tcPr>
          <w:p w14:paraId="24928615" w14:textId="046E7D51" w:rsidR="008D5503" w:rsidRPr="001E471E" w:rsidRDefault="008D5503" w:rsidP="00F473A3">
            <w:pPr>
              <w:jc w:val="both"/>
              <w:rPr>
                <w:sz w:val="24"/>
                <w:szCs w:val="24"/>
              </w:rPr>
            </w:pPr>
            <w:r>
              <w:rPr>
                <w:sz w:val="24"/>
                <w:szCs w:val="24"/>
              </w:rPr>
              <w:t>В условиях с</w:t>
            </w:r>
            <w:r w:rsidRPr="001E471E">
              <w:rPr>
                <w:sz w:val="24"/>
                <w:szCs w:val="24"/>
              </w:rPr>
              <w:t>нижени</w:t>
            </w:r>
            <w:r>
              <w:rPr>
                <w:sz w:val="24"/>
                <w:szCs w:val="24"/>
              </w:rPr>
              <w:t>я</w:t>
            </w:r>
            <w:r w:rsidRPr="001E471E">
              <w:rPr>
                <w:sz w:val="24"/>
                <w:szCs w:val="24"/>
              </w:rPr>
              <w:t xml:space="preserve"> уровня оплаты за жилищные и коммунальные услуги граждан и юридических лиц до </w:t>
            </w:r>
            <w:r>
              <w:rPr>
                <w:sz w:val="24"/>
                <w:szCs w:val="24"/>
              </w:rPr>
              <w:t>2-х раз и более, данная мера позволит обеспечить с</w:t>
            </w:r>
            <w:r w:rsidRPr="001E471E">
              <w:rPr>
                <w:sz w:val="24"/>
                <w:szCs w:val="24"/>
              </w:rPr>
              <w:t>воевременн</w:t>
            </w:r>
            <w:r>
              <w:rPr>
                <w:sz w:val="24"/>
                <w:szCs w:val="24"/>
              </w:rPr>
              <w:t>ую</w:t>
            </w:r>
            <w:r w:rsidRPr="001E471E">
              <w:rPr>
                <w:sz w:val="24"/>
                <w:szCs w:val="24"/>
              </w:rPr>
              <w:t xml:space="preserve"> подготовк</w:t>
            </w:r>
            <w:r>
              <w:rPr>
                <w:sz w:val="24"/>
                <w:szCs w:val="24"/>
              </w:rPr>
              <w:t>у</w:t>
            </w:r>
            <w:r w:rsidRPr="001E471E">
              <w:rPr>
                <w:sz w:val="24"/>
                <w:szCs w:val="24"/>
              </w:rPr>
              <w:t xml:space="preserve"> объектов ЖКХ к зиме 2020 – 2021 годов</w:t>
            </w:r>
          </w:p>
        </w:tc>
      </w:tr>
      <w:tr w:rsidR="008D5503" w:rsidRPr="00005094" w14:paraId="0F966966" w14:textId="77777777" w:rsidTr="00CE5730">
        <w:tc>
          <w:tcPr>
            <w:tcW w:w="846" w:type="dxa"/>
          </w:tcPr>
          <w:p w14:paraId="0606D409" w14:textId="77777777" w:rsidR="008D5503" w:rsidRPr="001B125C" w:rsidRDefault="008D5503" w:rsidP="001B125C">
            <w:pPr>
              <w:pStyle w:val="a4"/>
              <w:numPr>
                <w:ilvl w:val="0"/>
                <w:numId w:val="1"/>
              </w:numPr>
              <w:ind w:left="0" w:firstLine="0"/>
              <w:rPr>
                <w:sz w:val="24"/>
                <w:szCs w:val="24"/>
              </w:rPr>
            </w:pPr>
          </w:p>
        </w:tc>
        <w:tc>
          <w:tcPr>
            <w:tcW w:w="6379" w:type="dxa"/>
          </w:tcPr>
          <w:p w14:paraId="4F0105A8" w14:textId="77777777" w:rsidR="008D5503" w:rsidRPr="001B125C" w:rsidRDefault="008D5503" w:rsidP="00F473A3">
            <w:pPr>
              <w:jc w:val="both"/>
              <w:rPr>
                <w:sz w:val="24"/>
                <w:szCs w:val="24"/>
              </w:rPr>
            </w:pPr>
            <w:r w:rsidRPr="001B125C">
              <w:rPr>
                <w:sz w:val="24"/>
                <w:szCs w:val="24"/>
              </w:rPr>
              <w:t>Приостановить действие (временно, сроком на 1 год) норм об аннулировании лицензий управляющих организаций на право деятельности по управлению МКД в связи с образованием задолженности по оплате коммунальных ресурсов ресурсоснабжающим организациям и продлить сроки действия квалификационных аттестатов руководителям управляющих организаций.</w:t>
            </w:r>
          </w:p>
        </w:tc>
        <w:tc>
          <w:tcPr>
            <w:tcW w:w="7938" w:type="dxa"/>
          </w:tcPr>
          <w:p w14:paraId="7542D432" w14:textId="585CAC7B" w:rsidR="008D5503" w:rsidRPr="00F2366B" w:rsidRDefault="008D5503" w:rsidP="00F473A3">
            <w:pPr>
              <w:jc w:val="both"/>
              <w:rPr>
                <w:sz w:val="24"/>
                <w:szCs w:val="24"/>
              </w:rPr>
            </w:pPr>
            <w:proofErr w:type="gramStart"/>
            <w:r w:rsidRPr="00F2366B">
              <w:rPr>
                <w:sz w:val="24"/>
                <w:szCs w:val="24"/>
              </w:rPr>
              <w:t>На фоне общего сокращения доходов в связи с режимом ограничений неизбежно сокращение платежей собственников и нанимателей жилых помещений в МКД по договорам с управляющими и ресурсоснабжающими организациями, что приводит к образованию у управляющих организаций задолженностей перед ресурсоснабжающими организациями</w:t>
            </w:r>
            <w:r>
              <w:rPr>
                <w:sz w:val="24"/>
                <w:szCs w:val="24"/>
              </w:rPr>
              <w:t>, являющихся одним из оснований для лишения управляющих организаций лицензий за некачественное выполнение условий по договору управления.</w:t>
            </w:r>
            <w:proofErr w:type="gramEnd"/>
          </w:p>
        </w:tc>
      </w:tr>
    </w:tbl>
    <w:p w14:paraId="6BF2F514" w14:textId="77777777" w:rsidR="00CE5730" w:rsidRDefault="00CE5730">
      <w:r>
        <w:br w:type="page"/>
      </w:r>
    </w:p>
    <w:tbl>
      <w:tblPr>
        <w:tblStyle w:val="a3"/>
        <w:tblW w:w="0" w:type="auto"/>
        <w:tblLook w:val="04A0" w:firstRow="1" w:lastRow="0" w:firstColumn="1" w:lastColumn="0" w:noHBand="0" w:noVBand="1"/>
      </w:tblPr>
      <w:tblGrid>
        <w:gridCol w:w="846"/>
        <w:gridCol w:w="6379"/>
        <w:gridCol w:w="7938"/>
      </w:tblGrid>
      <w:tr w:rsidR="008D5503" w:rsidRPr="00005094" w14:paraId="29EFDD61" w14:textId="77777777" w:rsidTr="00CE5730">
        <w:tc>
          <w:tcPr>
            <w:tcW w:w="846" w:type="dxa"/>
          </w:tcPr>
          <w:p w14:paraId="185630E5" w14:textId="245F0296" w:rsidR="008D5503" w:rsidRPr="001B125C" w:rsidRDefault="008D5503" w:rsidP="001B125C">
            <w:pPr>
              <w:pStyle w:val="a4"/>
              <w:numPr>
                <w:ilvl w:val="0"/>
                <w:numId w:val="1"/>
              </w:numPr>
              <w:ind w:left="0" w:firstLine="0"/>
              <w:rPr>
                <w:sz w:val="24"/>
                <w:szCs w:val="24"/>
              </w:rPr>
            </w:pPr>
          </w:p>
        </w:tc>
        <w:tc>
          <w:tcPr>
            <w:tcW w:w="6379" w:type="dxa"/>
          </w:tcPr>
          <w:p w14:paraId="3D9E7591" w14:textId="6F0A3054" w:rsidR="008D5503" w:rsidRPr="001B125C" w:rsidRDefault="008D5503" w:rsidP="00F473A3">
            <w:pPr>
              <w:jc w:val="both"/>
              <w:rPr>
                <w:sz w:val="24"/>
                <w:szCs w:val="24"/>
              </w:rPr>
            </w:pPr>
            <w:r w:rsidRPr="001B125C">
              <w:rPr>
                <w:sz w:val="24"/>
                <w:szCs w:val="24"/>
              </w:rPr>
              <w:t>Отложить до 2021 года увеличени</w:t>
            </w:r>
            <w:r>
              <w:rPr>
                <w:sz w:val="24"/>
                <w:szCs w:val="24"/>
              </w:rPr>
              <w:t>е</w:t>
            </w:r>
            <w:r w:rsidRPr="001B125C">
              <w:rPr>
                <w:sz w:val="24"/>
                <w:szCs w:val="24"/>
              </w:rPr>
              <w:t xml:space="preserve"> тарифов на коммунальные ресурсы.</w:t>
            </w:r>
          </w:p>
        </w:tc>
        <w:tc>
          <w:tcPr>
            <w:tcW w:w="7938" w:type="dxa"/>
          </w:tcPr>
          <w:p w14:paraId="0311143F" w14:textId="0554596D" w:rsidR="008D5503" w:rsidRPr="001B125C" w:rsidRDefault="008D5503" w:rsidP="00F473A3">
            <w:pPr>
              <w:jc w:val="both"/>
              <w:rPr>
                <w:sz w:val="24"/>
                <w:szCs w:val="24"/>
              </w:rPr>
            </w:pPr>
            <w:r>
              <w:rPr>
                <w:sz w:val="24"/>
                <w:szCs w:val="24"/>
              </w:rPr>
              <w:t>В условиях</w:t>
            </w:r>
            <w:r w:rsidRPr="00F2366B">
              <w:rPr>
                <w:sz w:val="24"/>
                <w:szCs w:val="24"/>
              </w:rPr>
              <w:t xml:space="preserve"> общего сокращения доходов в связи с режимом ограничений </w:t>
            </w:r>
            <w:r>
              <w:rPr>
                <w:sz w:val="24"/>
                <w:szCs w:val="24"/>
              </w:rPr>
              <w:t>и снижением платежеспособности населения необходимо</w:t>
            </w:r>
            <w:r w:rsidRPr="00F2366B">
              <w:rPr>
                <w:sz w:val="24"/>
                <w:szCs w:val="24"/>
              </w:rPr>
              <w:t xml:space="preserve"> </w:t>
            </w:r>
            <w:r>
              <w:rPr>
                <w:sz w:val="24"/>
                <w:szCs w:val="24"/>
              </w:rPr>
              <w:t>н</w:t>
            </w:r>
            <w:r w:rsidRPr="001B125C">
              <w:rPr>
                <w:sz w:val="24"/>
                <w:szCs w:val="24"/>
              </w:rPr>
              <w:t xml:space="preserve">аладить платежи по сегодняшним тарифам, </w:t>
            </w:r>
            <w:r>
              <w:rPr>
                <w:sz w:val="24"/>
                <w:szCs w:val="24"/>
              </w:rPr>
              <w:t xml:space="preserve">чтобы не </w:t>
            </w:r>
            <w:r w:rsidRPr="001B125C">
              <w:rPr>
                <w:sz w:val="24"/>
                <w:szCs w:val="24"/>
              </w:rPr>
              <w:t>увеличивать количество неплательщиков</w:t>
            </w:r>
            <w:r>
              <w:rPr>
                <w:sz w:val="24"/>
                <w:szCs w:val="24"/>
              </w:rPr>
              <w:t>.</w:t>
            </w:r>
          </w:p>
        </w:tc>
      </w:tr>
      <w:tr w:rsidR="008D5503" w:rsidRPr="005C4C31" w14:paraId="796D3087" w14:textId="77777777" w:rsidTr="00CE5730">
        <w:tc>
          <w:tcPr>
            <w:tcW w:w="846" w:type="dxa"/>
          </w:tcPr>
          <w:p w14:paraId="3E7E7661" w14:textId="77777777" w:rsidR="008D5503" w:rsidRPr="005C4C31" w:rsidRDefault="008D5503" w:rsidP="002C1954">
            <w:pPr>
              <w:pStyle w:val="a4"/>
              <w:numPr>
                <w:ilvl w:val="0"/>
                <w:numId w:val="1"/>
              </w:numPr>
              <w:ind w:left="0" w:firstLine="0"/>
              <w:rPr>
                <w:sz w:val="24"/>
                <w:szCs w:val="20"/>
              </w:rPr>
            </w:pPr>
          </w:p>
        </w:tc>
        <w:tc>
          <w:tcPr>
            <w:tcW w:w="6379" w:type="dxa"/>
          </w:tcPr>
          <w:p w14:paraId="149040DB" w14:textId="3F66DADF" w:rsidR="008D5503" w:rsidRPr="005C4C31" w:rsidRDefault="008D5503" w:rsidP="00F473A3">
            <w:pPr>
              <w:jc w:val="both"/>
              <w:rPr>
                <w:sz w:val="24"/>
                <w:szCs w:val="20"/>
              </w:rPr>
            </w:pPr>
            <w:r w:rsidRPr="005C4C31">
              <w:rPr>
                <w:sz w:val="24"/>
                <w:szCs w:val="20"/>
              </w:rPr>
              <w:t xml:space="preserve">Компенсировать управляющим организациям, ТСЖ, жилищным кооперативам, ЖСК расходы на проведение мероприятий по дезинфекции помещений общего пользования в многоквартирных домах, проводимых в апреле-мае 2020 года </w:t>
            </w:r>
          </w:p>
        </w:tc>
        <w:tc>
          <w:tcPr>
            <w:tcW w:w="7938" w:type="dxa"/>
          </w:tcPr>
          <w:p w14:paraId="5F9CFA58" w14:textId="77777777" w:rsidR="008D5503" w:rsidRDefault="008D5503" w:rsidP="00F473A3">
            <w:pPr>
              <w:jc w:val="both"/>
              <w:rPr>
                <w:sz w:val="24"/>
                <w:szCs w:val="20"/>
              </w:rPr>
            </w:pPr>
            <w:r w:rsidRPr="005C4C31">
              <w:rPr>
                <w:sz w:val="24"/>
                <w:szCs w:val="20"/>
              </w:rPr>
              <w:t>Во многих регионах по решению региональных органов власти, органов местного самоуправления или предписаниям Роспотребнадзора, либо просто путем административного указания, управляющие организации, ТСЖ, жилищные кооперативы, ЖСК обязали проводить мероприятия по дезинфекции помещений общего пользования в МКД. При этом расходы на проведение этих мероприятий либо осуществлялись за счет платы по содержанию (по текущему ремонту), либо за счет дополнительных платежей собственников. Учитывая то, что такой вид работ как дезинфекция помещений общего пользования не включен в состав работ по содержанию общего имущества, в состав минимального перечня работ, утвержденного Правительством РФ, возложение таких расходов на собственников фактически приведет к ухудшению состояния МКД и дополнительным затратам собственников в условиях снижения общего уровня доходов.</w:t>
            </w:r>
          </w:p>
          <w:p w14:paraId="7D14CE52" w14:textId="090A85FB" w:rsidR="008D5503" w:rsidRPr="004F4D41" w:rsidRDefault="008D5503" w:rsidP="00F473A3">
            <w:pPr>
              <w:jc w:val="both"/>
              <w:rPr>
                <w:sz w:val="24"/>
                <w:szCs w:val="20"/>
              </w:rPr>
            </w:pPr>
            <w:r w:rsidRPr="004F4D41">
              <w:rPr>
                <w:sz w:val="24"/>
                <w:szCs w:val="20"/>
              </w:rPr>
              <w:t>Применение данной меры позволит сохранить уровень и качество содержания общего имущества в МКД.</w:t>
            </w:r>
          </w:p>
        </w:tc>
      </w:tr>
      <w:tr w:rsidR="008D5503" w:rsidRPr="005C4C31" w14:paraId="3C4A7EF2" w14:textId="77777777" w:rsidTr="00CE5730">
        <w:tc>
          <w:tcPr>
            <w:tcW w:w="846" w:type="dxa"/>
          </w:tcPr>
          <w:p w14:paraId="6CEBB5A8" w14:textId="77777777" w:rsidR="008D5503" w:rsidRPr="005C4C31" w:rsidRDefault="008D5503" w:rsidP="002C1954">
            <w:pPr>
              <w:pStyle w:val="a4"/>
              <w:numPr>
                <w:ilvl w:val="0"/>
                <w:numId w:val="1"/>
              </w:numPr>
              <w:ind w:left="0" w:firstLine="0"/>
              <w:rPr>
                <w:rFonts w:cs="Times New Roman"/>
                <w:sz w:val="24"/>
                <w:szCs w:val="24"/>
              </w:rPr>
            </w:pPr>
          </w:p>
        </w:tc>
        <w:tc>
          <w:tcPr>
            <w:tcW w:w="6379" w:type="dxa"/>
          </w:tcPr>
          <w:p w14:paraId="29A4EFBC" w14:textId="4BBCCF62" w:rsidR="008D5503" w:rsidRPr="005C4C31" w:rsidRDefault="008D5503" w:rsidP="00F473A3">
            <w:pPr>
              <w:jc w:val="both"/>
              <w:rPr>
                <w:rFonts w:cs="Times New Roman"/>
                <w:sz w:val="24"/>
                <w:szCs w:val="24"/>
              </w:rPr>
            </w:pPr>
            <w:r w:rsidRPr="005C4C31">
              <w:rPr>
                <w:rFonts w:cs="Times New Roman"/>
                <w:sz w:val="24"/>
                <w:szCs w:val="24"/>
              </w:rPr>
              <w:t>Внести в постановление Правительства РФ №424 от 02.04.2020 поправку в пункт 3, изложив его в следующей редакции:</w:t>
            </w:r>
          </w:p>
          <w:p w14:paraId="547D0BAB" w14:textId="6A33E028" w:rsidR="008D5503" w:rsidRPr="005C4C31" w:rsidRDefault="008D5503" w:rsidP="00F473A3">
            <w:pPr>
              <w:jc w:val="both"/>
              <w:rPr>
                <w:rFonts w:cs="Times New Roman"/>
                <w:sz w:val="24"/>
                <w:szCs w:val="24"/>
              </w:rPr>
            </w:pPr>
            <w:r w:rsidRPr="005C4C31">
              <w:rPr>
                <w:rFonts w:cs="Times New Roman"/>
                <w:sz w:val="24"/>
                <w:szCs w:val="24"/>
              </w:rPr>
              <w:t>«</w:t>
            </w:r>
            <w:r w:rsidRPr="005C4C31">
              <w:rPr>
                <w:rFonts w:eastAsia="Times New Roman" w:cs="Times New Roman"/>
                <w:sz w:val="24"/>
                <w:szCs w:val="24"/>
                <w:lang w:eastAsia="ru-RU"/>
              </w:rPr>
              <w:t xml:space="preserve">3. </w:t>
            </w:r>
            <w:proofErr w:type="gramStart"/>
            <w:r w:rsidRPr="005C4C31">
              <w:rPr>
                <w:rFonts w:eastAsia="Times New Roman" w:cs="Times New Roman"/>
                <w:sz w:val="24"/>
                <w:szCs w:val="24"/>
                <w:lang w:eastAsia="ru-RU"/>
              </w:rPr>
              <w:t>Положения договоров, заключенных в соответствии с законодательством Российской Федерации о газоснабжении, электроэнергетике, теплоснабжении, водоснабжении и водоотведении, устанавливающие право поставщиков коммунальных ресурсов на взыскание неустойки (штрафа, пени) за несвоевременное и (или) не полностью исполненное лицами, осуществляющими деятельность по управлению многоквартирными домами, обязательство по оплате коммунальных ресурсов, не применяются до 1 января 2021</w:t>
            </w:r>
            <w:r>
              <w:rPr>
                <w:rFonts w:eastAsia="Times New Roman" w:cs="Times New Roman"/>
                <w:sz w:val="24"/>
                <w:szCs w:val="24"/>
                <w:lang w:eastAsia="ru-RU"/>
              </w:rPr>
              <w:t xml:space="preserve"> </w:t>
            </w:r>
            <w:r w:rsidRPr="005C4C31">
              <w:rPr>
                <w:rFonts w:eastAsia="Times New Roman" w:cs="Times New Roman"/>
                <w:sz w:val="24"/>
                <w:szCs w:val="24"/>
                <w:lang w:eastAsia="ru-RU"/>
              </w:rPr>
              <w:t>года.</w:t>
            </w:r>
            <w:proofErr w:type="gramEnd"/>
            <w:r w:rsidRPr="005C4C31">
              <w:rPr>
                <w:rFonts w:eastAsia="Times New Roman" w:cs="Times New Roman"/>
                <w:sz w:val="24"/>
                <w:szCs w:val="24"/>
                <w:lang w:eastAsia="ru-RU"/>
              </w:rPr>
              <w:t xml:space="preserve"> </w:t>
            </w:r>
            <w:r w:rsidRPr="006E205E">
              <w:rPr>
                <w:rFonts w:eastAsia="Times New Roman" w:cs="Times New Roman"/>
                <w:b/>
                <w:bCs/>
                <w:sz w:val="24"/>
                <w:szCs w:val="24"/>
                <w:lang w:eastAsia="ru-RU"/>
              </w:rPr>
              <w:t>При этом порядок расчета неустойки (штрафа, пени) для управляющих организаций в установленный настоящим постановлением период, применяется аналогичный расчету неустоек, предусмотренному частью 14 статьи 155 Жилищного кодекса Российской Федерации</w:t>
            </w:r>
            <w:proofErr w:type="gramStart"/>
            <w:r w:rsidRPr="006E205E">
              <w:rPr>
                <w:rFonts w:eastAsia="Times New Roman" w:cs="Times New Roman"/>
                <w:b/>
                <w:bCs/>
                <w:sz w:val="24"/>
                <w:szCs w:val="24"/>
                <w:lang w:eastAsia="ru-RU"/>
              </w:rPr>
              <w:t>.».</w:t>
            </w:r>
            <w:proofErr w:type="gramEnd"/>
          </w:p>
        </w:tc>
        <w:tc>
          <w:tcPr>
            <w:tcW w:w="7938" w:type="dxa"/>
          </w:tcPr>
          <w:p w14:paraId="5C3570B7" w14:textId="5A8A2A86" w:rsidR="008D5503" w:rsidRPr="005C4C31" w:rsidRDefault="008D5503" w:rsidP="005C4C31">
            <w:pPr>
              <w:jc w:val="both"/>
              <w:rPr>
                <w:rFonts w:eastAsia="Times New Roman" w:cs="Times New Roman"/>
                <w:sz w:val="24"/>
                <w:szCs w:val="24"/>
                <w:lang w:eastAsia="ru-RU"/>
              </w:rPr>
            </w:pPr>
            <w:r w:rsidRPr="005C4C31">
              <w:rPr>
                <w:rFonts w:cs="Times New Roman"/>
                <w:sz w:val="24"/>
                <w:szCs w:val="24"/>
              </w:rPr>
              <w:t>В соответствии с положениями статьи 155 ЖК РФ потребителю за несвоевременную оплату коммунальных услуг может быть начислена пени на 31 день после наступления срока платежа. Соответственно, платежи потребителей за февраль, которые не оплачены по состоянию на 10 марта (дата платежа), могли быть взысканы только с 10 апреля (31 день), а в этот момент вступило в действие постановление Правительства РФ №424, и данные пени теперь не могут быть взысканы. Однако в соответствии с законодательством о водоснабжении, теплоснабжении, электроснабжении, газоснабжении, порядок расчета пени для граждан, ТСЖ, ЖК, ЖСК аналогичен положениям Жилищного кодекса, а вот для управляющих организаций расчет пени осуществляется с первого дня просрочки, например, статья 13 Федерального закона «О водоснабжении и водоотведении» - «</w:t>
            </w:r>
            <w:r w:rsidRPr="005C4C31">
              <w:rPr>
                <w:rFonts w:eastAsia="Times New Roman" w:cs="Times New Roman"/>
                <w:sz w:val="24"/>
                <w:szCs w:val="24"/>
                <w:lang w:eastAsia="ru-RU"/>
              </w:rPr>
              <w:t xml:space="preserve">6.4. </w:t>
            </w:r>
            <w:proofErr w:type="gramStart"/>
            <w:r w:rsidRPr="005C4C31">
              <w:rPr>
                <w:rFonts w:eastAsia="Times New Roman" w:cs="Times New Roman"/>
                <w:sz w:val="24"/>
                <w:szCs w:val="24"/>
                <w:lang w:eastAsia="ru-RU"/>
              </w:rPr>
              <w:t xml:space="preserve">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w:t>
            </w:r>
            <w:r w:rsidRPr="005C4C31">
              <w:rPr>
                <w:rFonts w:eastAsia="Times New Roman" w:cs="Times New Roman"/>
                <w:sz w:val="24"/>
                <w:szCs w:val="24"/>
                <w:lang w:eastAsia="ru-RU"/>
              </w:rPr>
              <w:lastRenderedPageBreak/>
              <w:t>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w:t>
            </w:r>
            <w:proofErr w:type="gramEnd"/>
            <w:r w:rsidRPr="005C4C31">
              <w:rPr>
                <w:rFonts w:eastAsia="Times New Roman" w:cs="Times New Roman"/>
                <w:sz w:val="24"/>
                <w:szCs w:val="24"/>
                <w:lang w:eastAsia="ru-RU"/>
              </w:rPr>
              <w:t xml:space="preserve">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5C4C31">
              <w:rPr>
                <w:rFonts w:eastAsia="Times New Roman" w:cs="Times New Roman"/>
                <w:sz w:val="24"/>
                <w:szCs w:val="24"/>
                <w:lang w:eastAsia="ru-RU"/>
              </w:rPr>
              <w:t>суммы</w:t>
            </w:r>
            <w:proofErr w:type="gramEnd"/>
            <w:r w:rsidRPr="005C4C31">
              <w:rPr>
                <w:rFonts w:eastAsia="Times New Roman" w:cs="Times New Roman"/>
                <w:sz w:val="24"/>
                <w:szCs w:val="24"/>
                <w:lang w:eastAsia="ru-RU"/>
              </w:rPr>
              <w:t xml:space="preserve">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w:t>
            </w:r>
            <w:proofErr w:type="gramStart"/>
            <w:r w:rsidRPr="005C4C31">
              <w:rPr>
                <w:rFonts w:eastAsia="Times New Roman" w:cs="Times New Roman"/>
                <w:sz w:val="24"/>
                <w:szCs w:val="24"/>
                <w:lang w:eastAsia="ru-RU"/>
              </w:rPr>
              <w:t xml:space="preserve">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5C4C31">
              <w:rPr>
                <w:rFonts w:eastAsia="Times New Roman" w:cs="Times New Roman"/>
                <w:sz w:val="24"/>
                <w:szCs w:val="24"/>
                <w:lang w:eastAsia="ru-RU"/>
              </w:rPr>
              <w:t>стосемидесятой</w:t>
            </w:r>
            <w:proofErr w:type="spellEnd"/>
            <w:r w:rsidRPr="005C4C31">
              <w:rPr>
                <w:rFonts w:eastAsia="Times New Roman" w:cs="Times New Roman"/>
                <w:sz w:val="24"/>
                <w:szCs w:val="24"/>
                <w:lang w:eastAsia="ru-RU"/>
              </w:rPr>
              <w:t xml:space="preserve"> ставки рефинансирования Центрального банка Российской Федерации, действующей</w:t>
            </w:r>
            <w:proofErr w:type="gramEnd"/>
            <w:r w:rsidRPr="005C4C31">
              <w:rPr>
                <w:rFonts w:eastAsia="Times New Roman" w:cs="Times New Roman"/>
                <w:sz w:val="24"/>
                <w:szCs w:val="24"/>
                <w:lang w:eastAsia="ru-RU"/>
              </w:rPr>
              <w:t xml:space="preserve">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5C4C31">
              <w:rPr>
                <w:rFonts w:eastAsia="Times New Roman" w:cs="Times New Roman"/>
                <w:sz w:val="24"/>
                <w:szCs w:val="24"/>
                <w:lang w:eastAsia="ru-RU"/>
              </w:rPr>
              <w:t>стотридцатой</w:t>
            </w:r>
            <w:proofErr w:type="spellEnd"/>
            <w:r w:rsidRPr="005C4C31">
              <w:rPr>
                <w:rFonts w:eastAsia="Times New Roman" w:cs="Times New Roman"/>
                <w:sz w:val="24"/>
                <w:szCs w:val="24"/>
                <w:lang w:eastAsia="ru-RU"/>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09321545" w14:textId="52979709" w:rsidR="008D5503" w:rsidRPr="005C4C31" w:rsidRDefault="008D5503" w:rsidP="005C4C31">
            <w:pPr>
              <w:jc w:val="both"/>
              <w:rPr>
                <w:rFonts w:eastAsia="Times New Roman" w:cs="Times New Roman"/>
                <w:sz w:val="24"/>
                <w:szCs w:val="24"/>
                <w:lang w:eastAsia="ru-RU"/>
              </w:rPr>
            </w:pPr>
            <w:r w:rsidRPr="005C4C31">
              <w:rPr>
                <w:rFonts w:eastAsia="Times New Roman" w:cs="Times New Roman"/>
                <w:sz w:val="24"/>
                <w:szCs w:val="24"/>
                <w:lang w:eastAsia="ru-RU"/>
              </w:rPr>
              <w:t>То есть, задолженность потребителей за февраль для управляющих организаций не может быть основанием для начисления пени, а вот эта же задолженность управляющих организаций перед РСО может быть основанием для начисления пени, что создает неравные условия для участников рынка.</w:t>
            </w:r>
          </w:p>
          <w:p w14:paraId="6166A40C" w14:textId="650CA210" w:rsidR="008D5503" w:rsidRPr="004F4D41" w:rsidRDefault="008D5503" w:rsidP="008D5503">
            <w:pPr>
              <w:jc w:val="both"/>
              <w:rPr>
                <w:rFonts w:cs="Times New Roman"/>
                <w:sz w:val="24"/>
                <w:szCs w:val="24"/>
              </w:rPr>
            </w:pPr>
            <w:r w:rsidRPr="004F4D41">
              <w:rPr>
                <w:rFonts w:cs="Times New Roman"/>
                <w:sz w:val="24"/>
                <w:szCs w:val="24"/>
              </w:rPr>
              <w:t>Предлагаемая мера позволит равномерно распределить нагрузку между управляющими организациями, исполнителями коммунальных услуг и ресурсоснабжающими организациями в части начисления и взыскания пени за просроченные коммунальные платежи.</w:t>
            </w:r>
          </w:p>
        </w:tc>
      </w:tr>
    </w:tbl>
    <w:p w14:paraId="38F92989" w14:textId="77777777" w:rsidR="00CE5730" w:rsidRDefault="00CE5730">
      <w:r>
        <w:lastRenderedPageBreak/>
        <w:br w:type="page"/>
      </w:r>
    </w:p>
    <w:tbl>
      <w:tblPr>
        <w:tblStyle w:val="a3"/>
        <w:tblW w:w="0" w:type="auto"/>
        <w:tblLook w:val="04A0" w:firstRow="1" w:lastRow="0" w:firstColumn="1" w:lastColumn="0" w:noHBand="0" w:noVBand="1"/>
      </w:tblPr>
      <w:tblGrid>
        <w:gridCol w:w="846"/>
        <w:gridCol w:w="6379"/>
        <w:gridCol w:w="7938"/>
      </w:tblGrid>
      <w:tr w:rsidR="004601E1" w:rsidRPr="005C4C31" w14:paraId="64DB0CB4" w14:textId="77777777" w:rsidTr="00CE5730">
        <w:tc>
          <w:tcPr>
            <w:tcW w:w="846" w:type="dxa"/>
          </w:tcPr>
          <w:p w14:paraId="696CF556" w14:textId="62B0F022" w:rsidR="004601E1" w:rsidRPr="005C4C31" w:rsidRDefault="004601E1" w:rsidP="002C1954">
            <w:pPr>
              <w:pStyle w:val="a4"/>
              <w:numPr>
                <w:ilvl w:val="0"/>
                <w:numId w:val="1"/>
              </w:numPr>
              <w:ind w:left="0" w:firstLine="0"/>
              <w:rPr>
                <w:rFonts w:cs="Times New Roman"/>
                <w:sz w:val="24"/>
                <w:szCs w:val="24"/>
              </w:rPr>
            </w:pPr>
          </w:p>
        </w:tc>
        <w:tc>
          <w:tcPr>
            <w:tcW w:w="6379" w:type="dxa"/>
          </w:tcPr>
          <w:p w14:paraId="140CDC35" w14:textId="73275A12" w:rsidR="004601E1" w:rsidRPr="005C4C31" w:rsidRDefault="004F4D41" w:rsidP="00F473A3">
            <w:pPr>
              <w:jc w:val="both"/>
              <w:rPr>
                <w:rFonts w:cs="Times New Roman"/>
                <w:sz w:val="24"/>
                <w:szCs w:val="24"/>
              </w:rPr>
            </w:pPr>
            <w:r w:rsidRPr="005116CE">
              <w:rPr>
                <w:rFonts w:cs="Times New Roman"/>
                <w:sz w:val="24"/>
                <w:szCs w:val="24"/>
              </w:rPr>
              <w:t>Отменить действие пункта 1</w:t>
            </w:r>
            <w:r w:rsidRPr="005116CE">
              <w:rPr>
                <w:sz w:val="24"/>
                <w:szCs w:val="24"/>
              </w:rPr>
              <w:t xml:space="preserve"> постановления Правительства РФ от 02.04.2020 № 424 «Об особенностях предоставления коммунальных услуг собственникам и пользователям помещений в многоквартирных домах и жилых домов» в части переноса </w:t>
            </w:r>
            <w:proofErr w:type="gramStart"/>
            <w:r w:rsidRPr="005116CE">
              <w:rPr>
                <w:sz w:val="24"/>
                <w:szCs w:val="24"/>
              </w:rPr>
              <w:t>сроков проведения плановых поверок приборов учета коммунальных ресурсов</w:t>
            </w:r>
            <w:proofErr w:type="gramEnd"/>
            <w:r w:rsidRPr="005116CE">
              <w:rPr>
                <w:sz w:val="24"/>
                <w:szCs w:val="24"/>
              </w:rPr>
              <w:t xml:space="preserve"> до 01 января 2021 года.</w:t>
            </w:r>
          </w:p>
        </w:tc>
        <w:tc>
          <w:tcPr>
            <w:tcW w:w="7938" w:type="dxa"/>
          </w:tcPr>
          <w:p w14:paraId="3070017E" w14:textId="29215F39" w:rsidR="004601E1" w:rsidRPr="004601E1" w:rsidRDefault="004601E1" w:rsidP="002160A8">
            <w:pPr>
              <w:jc w:val="both"/>
              <w:rPr>
                <w:sz w:val="24"/>
                <w:szCs w:val="24"/>
              </w:rPr>
            </w:pPr>
            <w:r w:rsidRPr="004601E1">
              <w:rPr>
                <w:sz w:val="24"/>
                <w:szCs w:val="24"/>
              </w:rPr>
              <w:t xml:space="preserve">Перенос </w:t>
            </w:r>
            <w:proofErr w:type="gramStart"/>
            <w:r w:rsidRPr="004601E1">
              <w:rPr>
                <w:sz w:val="24"/>
                <w:szCs w:val="24"/>
              </w:rPr>
              <w:t>сроков проведения поверки приборов учета коммунальных ресурсов</w:t>
            </w:r>
            <w:proofErr w:type="gramEnd"/>
            <w:r w:rsidRPr="004601E1">
              <w:rPr>
                <w:sz w:val="24"/>
                <w:szCs w:val="24"/>
              </w:rPr>
              <w:t xml:space="preserve"> </w:t>
            </w:r>
            <w:r w:rsidR="002160A8">
              <w:rPr>
                <w:sz w:val="24"/>
                <w:szCs w:val="24"/>
              </w:rPr>
              <w:t xml:space="preserve">до 01.01.2021 </w:t>
            </w:r>
            <w:r w:rsidRPr="004601E1">
              <w:rPr>
                <w:sz w:val="24"/>
                <w:szCs w:val="24"/>
              </w:rPr>
              <w:t>не позвол</w:t>
            </w:r>
            <w:r w:rsidR="002160A8">
              <w:rPr>
                <w:sz w:val="24"/>
                <w:szCs w:val="24"/>
              </w:rPr>
              <w:t>и</w:t>
            </w:r>
            <w:r w:rsidRPr="004601E1">
              <w:rPr>
                <w:sz w:val="24"/>
                <w:szCs w:val="24"/>
              </w:rPr>
              <w:t>т своевременно выявить приборы учета с недостоверными показаниями, что приводит к увеличению бесконтрольного потребления коммунальных ресурсов, невозможности возложить оплату за потребленные коммунальные ресурсы в полном объеме на конечного потребителя и, как следствие, убыткам организаций ЖКХ, предоставляющих коммунальные ресурсы.</w:t>
            </w:r>
          </w:p>
          <w:p w14:paraId="4C68A050" w14:textId="17A3D203" w:rsidR="004601E1" w:rsidRPr="005C4C31" w:rsidRDefault="002160A8" w:rsidP="002160A8">
            <w:pPr>
              <w:jc w:val="both"/>
              <w:rPr>
                <w:rFonts w:cs="Times New Roman"/>
                <w:sz w:val="24"/>
                <w:szCs w:val="24"/>
              </w:rPr>
            </w:pPr>
            <w:r>
              <w:rPr>
                <w:sz w:val="24"/>
                <w:szCs w:val="24"/>
              </w:rPr>
              <w:t xml:space="preserve">Предложенная мера </w:t>
            </w:r>
            <w:proofErr w:type="gramStart"/>
            <w:r>
              <w:rPr>
                <w:sz w:val="24"/>
                <w:szCs w:val="24"/>
              </w:rPr>
              <w:t>позволит достичь с</w:t>
            </w:r>
            <w:r w:rsidR="004601E1" w:rsidRPr="004601E1">
              <w:rPr>
                <w:sz w:val="24"/>
                <w:szCs w:val="24"/>
              </w:rPr>
              <w:t>нижение</w:t>
            </w:r>
            <w:proofErr w:type="gramEnd"/>
            <w:r w:rsidR="004601E1" w:rsidRPr="004601E1">
              <w:rPr>
                <w:sz w:val="24"/>
                <w:szCs w:val="24"/>
              </w:rPr>
              <w:t xml:space="preserve"> убытков организаций ЖКХ, предоставляющих коммунальные ресурсы за счет более полного и достоверно</w:t>
            </w:r>
            <w:r>
              <w:rPr>
                <w:sz w:val="24"/>
                <w:szCs w:val="24"/>
              </w:rPr>
              <w:t>го</w:t>
            </w:r>
            <w:r w:rsidR="004601E1" w:rsidRPr="004601E1">
              <w:rPr>
                <w:sz w:val="24"/>
                <w:szCs w:val="24"/>
              </w:rPr>
              <w:t xml:space="preserve"> учета использования коммунальных ресурсов конечными потребителями.</w:t>
            </w:r>
          </w:p>
        </w:tc>
      </w:tr>
    </w:tbl>
    <w:p w14:paraId="70F6AF2D" w14:textId="365DB85D" w:rsidR="00AB51B1" w:rsidRDefault="00AB51B1"/>
    <w:sectPr w:rsidR="00AB51B1" w:rsidSect="00CE5730">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F1073"/>
    <w:multiLevelType w:val="hybridMultilevel"/>
    <w:tmpl w:val="7208F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165ACF"/>
    <w:multiLevelType w:val="multilevel"/>
    <w:tmpl w:val="E1BA538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B1"/>
    <w:rsid w:val="00005094"/>
    <w:rsid w:val="000E1FC6"/>
    <w:rsid w:val="000E67AB"/>
    <w:rsid w:val="00136BC5"/>
    <w:rsid w:val="001633C2"/>
    <w:rsid w:val="001B125C"/>
    <w:rsid w:val="001B5FFD"/>
    <w:rsid w:val="001B6ED8"/>
    <w:rsid w:val="001D723C"/>
    <w:rsid w:val="001E471E"/>
    <w:rsid w:val="002160A8"/>
    <w:rsid w:val="002369C0"/>
    <w:rsid w:val="00272353"/>
    <w:rsid w:val="002D5432"/>
    <w:rsid w:val="002E1F85"/>
    <w:rsid w:val="003117C0"/>
    <w:rsid w:val="003310BE"/>
    <w:rsid w:val="003A75E6"/>
    <w:rsid w:val="003E52E7"/>
    <w:rsid w:val="00402EE5"/>
    <w:rsid w:val="0041785D"/>
    <w:rsid w:val="00431F31"/>
    <w:rsid w:val="0044579D"/>
    <w:rsid w:val="004601E1"/>
    <w:rsid w:val="00475BF2"/>
    <w:rsid w:val="00493137"/>
    <w:rsid w:val="00493A8A"/>
    <w:rsid w:val="004F4D41"/>
    <w:rsid w:val="00520CBD"/>
    <w:rsid w:val="005C4C31"/>
    <w:rsid w:val="00602076"/>
    <w:rsid w:val="006125CF"/>
    <w:rsid w:val="006160E3"/>
    <w:rsid w:val="006362E2"/>
    <w:rsid w:val="00695D23"/>
    <w:rsid w:val="006C2403"/>
    <w:rsid w:val="006E205E"/>
    <w:rsid w:val="006E4CA7"/>
    <w:rsid w:val="007745C5"/>
    <w:rsid w:val="00866E9D"/>
    <w:rsid w:val="00873007"/>
    <w:rsid w:val="008817BA"/>
    <w:rsid w:val="008A7028"/>
    <w:rsid w:val="008D5503"/>
    <w:rsid w:val="008D5871"/>
    <w:rsid w:val="008E239B"/>
    <w:rsid w:val="0093337B"/>
    <w:rsid w:val="009734F3"/>
    <w:rsid w:val="009D27F9"/>
    <w:rsid w:val="00A23034"/>
    <w:rsid w:val="00A30E5A"/>
    <w:rsid w:val="00A3327A"/>
    <w:rsid w:val="00A90DD1"/>
    <w:rsid w:val="00A91D3F"/>
    <w:rsid w:val="00AA3103"/>
    <w:rsid w:val="00AB0774"/>
    <w:rsid w:val="00AB51B1"/>
    <w:rsid w:val="00B41CBB"/>
    <w:rsid w:val="00B75928"/>
    <w:rsid w:val="00B81D30"/>
    <w:rsid w:val="00BA199E"/>
    <w:rsid w:val="00BC5182"/>
    <w:rsid w:val="00BD3565"/>
    <w:rsid w:val="00BF2070"/>
    <w:rsid w:val="00BF43B1"/>
    <w:rsid w:val="00C3573F"/>
    <w:rsid w:val="00C50093"/>
    <w:rsid w:val="00C56A94"/>
    <w:rsid w:val="00C6335C"/>
    <w:rsid w:val="00CE5730"/>
    <w:rsid w:val="00D0049F"/>
    <w:rsid w:val="00D00B04"/>
    <w:rsid w:val="00D06600"/>
    <w:rsid w:val="00D21C5A"/>
    <w:rsid w:val="00DD203A"/>
    <w:rsid w:val="00E12684"/>
    <w:rsid w:val="00E15DBD"/>
    <w:rsid w:val="00E17B74"/>
    <w:rsid w:val="00E66306"/>
    <w:rsid w:val="00E743E7"/>
    <w:rsid w:val="00E82104"/>
    <w:rsid w:val="00EC24B9"/>
    <w:rsid w:val="00F2366B"/>
    <w:rsid w:val="00F473A3"/>
    <w:rsid w:val="00FE2DDD"/>
    <w:rsid w:val="00FE6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5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005094"/>
    <w:pPr>
      <w:ind w:left="720"/>
      <w:contextualSpacing/>
    </w:pPr>
  </w:style>
  <w:style w:type="character" w:customStyle="1" w:styleId="a6">
    <w:name w:val="Основной текст_"/>
    <w:basedOn w:val="a0"/>
    <w:link w:val="1"/>
    <w:rsid w:val="001E471E"/>
    <w:rPr>
      <w:rFonts w:eastAsia="Times New Roman" w:cs="Times New Roman"/>
      <w:sz w:val="26"/>
      <w:szCs w:val="26"/>
      <w:shd w:val="clear" w:color="auto" w:fill="FFFFFF"/>
    </w:rPr>
  </w:style>
  <w:style w:type="paragraph" w:customStyle="1" w:styleId="1">
    <w:name w:val="Основной текст1"/>
    <w:basedOn w:val="a"/>
    <w:link w:val="a6"/>
    <w:rsid w:val="001E471E"/>
    <w:pPr>
      <w:widowControl w:val="0"/>
      <w:shd w:val="clear" w:color="auto" w:fill="FFFFFF"/>
      <w:spacing w:after="280"/>
      <w:ind w:firstLine="400"/>
      <w:jc w:val="both"/>
    </w:pPr>
    <w:rPr>
      <w:rFonts w:eastAsia="Times New Roman" w:cs="Times New Roman"/>
      <w:sz w:val="26"/>
      <w:szCs w:val="26"/>
    </w:rPr>
  </w:style>
  <w:style w:type="paragraph" w:customStyle="1" w:styleId="Textbody">
    <w:name w:val="Text body"/>
    <w:basedOn w:val="a"/>
    <w:rsid w:val="001E471E"/>
    <w:pPr>
      <w:widowControl w:val="0"/>
      <w:suppressAutoHyphens/>
      <w:autoSpaceDN w:val="0"/>
      <w:spacing w:after="120"/>
      <w:textAlignment w:val="baseline"/>
    </w:pPr>
    <w:rPr>
      <w:rFonts w:eastAsia="SimSun" w:cs="Lucida Sans"/>
      <w:kern w:val="3"/>
      <w:sz w:val="24"/>
      <w:szCs w:val="24"/>
      <w:lang w:eastAsia="zh-CN" w:bidi="hi-IN"/>
    </w:rPr>
  </w:style>
  <w:style w:type="character" w:customStyle="1" w:styleId="a5">
    <w:name w:val="Абзац списка Знак"/>
    <w:link w:val="a4"/>
    <w:uiPriority w:val="34"/>
    <w:rsid w:val="004F4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5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005094"/>
    <w:pPr>
      <w:ind w:left="720"/>
      <w:contextualSpacing/>
    </w:pPr>
  </w:style>
  <w:style w:type="character" w:customStyle="1" w:styleId="a6">
    <w:name w:val="Основной текст_"/>
    <w:basedOn w:val="a0"/>
    <w:link w:val="1"/>
    <w:rsid w:val="001E471E"/>
    <w:rPr>
      <w:rFonts w:eastAsia="Times New Roman" w:cs="Times New Roman"/>
      <w:sz w:val="26"/>
      <w:szCs w:val="26"/>
      <w:shd w:val="clear" w:color="auto" w:fill="FFFFFF"/>
    </w:rPr>
  </w:style>
  <w:style w:type="paragraph" w:customStyle="1" w:styleId="1">
    <w:name w:val="Основной текст1"/>
    <w:basedOn w:val="a"/>
    <w:link w:val="a6"/>
    <w:rsid w:val="001E471E"/>
    <w:pPr>
      <w:widowControl w:val="0"/>
      <w:shd w:val="clear" w:color="auto" w:fill="FFFFFF"/>
      <w:spacing w:after="280"/>
      <w:ind w:firstLine="400"/>
      <w:jc w:val="both"/>
    </w:pPr>
    <w:rPr>
      <w:rFonts w:eastAsia="Times New Roman" w:cs="Times New Roman"/>
      <w:sz w:val="26"/>
      <w:szCs w:val="26"/>
    </w:rPr>
  </w:style>
  <w:style w:type="paragraph" w:customStyle="1" w:styleId="Textbody">
    <w:name w:val="Text body"/>
    <w:basedOn w:val="a"/>
    <w:rsid w:val="001E471E"/>
    <w:pPr>
      <w:widowControl w:val="0"/>
      <w:suppressAutoHyphens/>
      <w:autoSpaceDN w:val="0"/>
      <w:spacing w:after="120"/>
      <w:textAlignment w:val="baseline"/>
    </w:pPr>
    <w:rPr>
      <w:rFonts w:eastAsia="SimSun" w:cs="Lucida Sans"/>
      <w:kern w:val="3"/>
      <w:sz w:val="24"/>
      <w:szCs w:val="24"/>
      <w:lang w:eastAsia="zh-CN" w:bidi="hi-IN"/>
    </w:rPr>
  </w:style>
  <w:style w:type="character" w:customStyle="1" w:styleId="a5">
    <w:name w:val="Абзац списка Знак"/>
    <w:link w:val="a4"/>
    <w:uiPriority w:val="34"/>
    <w:rsid w:val="004F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2171</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Силкина Галина Викторовна</dc:creator>
  <cp:lastModifiedBy>Храновский Вячеслав Вячеславович</cp:lastModifiedBy>
  <cp:revision>2</cp:revision>
  <dcterms:created xsi:type="dcterms:W3CDTF">2020-08-03T08:50:00Z</dcterms:created>
  <dcterms:modified xsi:type="dcterms:W3CDTF">2020-08-03T08:50:00Z</dcterms:modified>
</cp:coreProperties>
</file>